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A2B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 xml:space="preserve">Stan na dzień sporządzenia prospektu informacyjnego </w:t>
      </w:r>
    </w:p>
    <w:p w14:paraId="72476C4E" w14:textId="3830AA84" w:rsidR="00EA1C22" w:rsidRPr="00EA1C22" w:rsidRDefault="00EA1C22" w:rsidP="002569DA">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sporządzenia</w:t>
      </w:r>
      <w:r w:rsidR="002569DA">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prospektu</w:t>
      </w:r>
      <w:r w:rsidR="002569DA">
        <w:rPr>
          <w:rFonts w:ascii="Times New Roman" w:eastAsia="Times New Roman" w:hAnsi="Times New Roman" w:cs="Times New Roman"/>
          <w:sz w:val="20"/>
          <w:szCs w:val="20"/>
        </w:rPr>
        <w:t xml:space="preserve">: </w:t>
      </w:r>
      <w:r w:rsidR="00381538">
        <w:rPr>
          <w:rFonts w:ascii="Times New Roman" w:eastAsia="Times New Roman" w:hAnsi="Times New Roman" w:cs="Times New Roman"/>
          <w:sz w:val="20"/>
          <w:szCs w:val="20"/>
        </w:rPr>
        <w:t>02.09</w:t>
      </w:r>
      <w:r w:rsidR="002569DA">
        <w:rPr>
          <w:rFonts w:ascii="Times New Roman" w:eastAsia="Times New Roman" w:hAnsi="Times New Roman" w:cs="Times New Roman"/>
          <w:sz w:val="20"/>
          <w:szCs w:val="20"/>
        </w:rPr>
        <w:t xml:space="preserve">.2025 </w:t>
      </w:r>
    </w:p>
    <w:p w14:paraId="3912E379"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24AD6B9B" w14:textId="77777777" w:rsidR="00EA1C22" w:rsidRPr="00EA1C22"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 xml:space="preserve">PROSPEKT INFORMACYJNY </w:t>
      </w:r>
    </w:p>
    <w:p w14:paraId="2C05DA33"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7790958A" w14:textId="77777777"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CZĘŚĆ OGÓLNA</w:t>
      </w:r>
    </w:p>
    <w:p w14:paraId="00C5C620"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3E4E57D2"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EA1C22" w14:paraId="506E7FBC" w14:textId="77777777" w:rsidTr="002568E5">
        <w:tc>
          <w:tcPr>
            <w:tcW w:w="9648" w:type="dxa"/>
            <w:gridSpan w:val="3"/>
            <w:tcBorders>
              <w:bottom w:val="single" w:sz="4" w:space="0" w:color="auto"/>
            </w:tcBorders>
            <w:shd w:val="clear" w:color="auto" w:fill="E0E0E0"/>
          </w:tcPr>
          <w:p w14:paraId="5E8BF4D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DEWELOPERA</w:t>
            </w:r>
          </w:p>
          <w:p w14:paraId="3A3CFAC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EA1C22" w14:paraId="4BBE5B60" w14:textId="77777777" w:rsidTr="002568E5">
        <w:trPr>
          <w:trHeight w:val="375"/>
        </w:trPr>
        <w:tc>
          <w:tcPr>
            <w:tcW w:w="2988" w:type="dxa"/>
            <w:shd w:val="clear" w:color="auto" w:fill="F3F3F3"/>
          </w:tcPr>
          <w:p w14:paraId="3A27336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Deweloper</w:t>
            </w:r>
          </w:p>
        </w:tc>
        <w:tc>
          <w:tcPr>
            <w:tcW w:w="6660" w:type="dxa"/>
            <w:gridSpan w:val="2"/>
          </w:tcPr>
          <w:p w14:paraId="0CEBC3AC" w14:textId="3FC0893A"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br/>
            </w:r>
            <w:r w:rsidR="00381538">
              <w:rPr>
                <w:rFonts w:ascii="Times New Roman" w:eastAsia="Times New Roman" w:hAnsi="Times New Roman" w:cs="Times New Roman"/>
                <w:sz w:val="20"/>
                <w:szCs w:val="20"/>
              </w:rPr>
              <w:t>1 Sekwoja</w:t>
            </w:r>
            <w:r w:rsidR="00F41884">
              <w:rPr>
                <w:rFonts w:ascii="Times New Roman" w:eastAsia="Times New Roman" w:hAnsi="Times New Roman" w:cs="Times New Roman"/>
                <w:sz w:val="20"/>
                <w:szCs w:val="20"/>
              </w:rPr>
              <w:t xml:space="preserve"> Sp. z o.o.</w:t>
            </w:r>
          </w:p>
        </w:tc>
      </w:tr>
      <w:tr w:rsidR="00EA1C22" w:rsidRPr="00EA1C22" w14:paraId="4C5C51D3" w14:textId="77777777" w:rsidTr="00F41884">
        <w:trPr>
          <w:trHeight w:val="746"/>
        </w:trPr>
        <w:tc>
          <w:tcPr>
            <w:tcW w:w="2988" w:type="dxa"/>
            <w:shd w:val="clear" w:color="auto" w:fill="F3F3F3"/>
          </w:tcPr>
          <w:p w14:paraId="60C44D1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660" w:type="dxa"/>
            <w:gridSpan w:val="2"/>
          </w:tcPr>
          <w:p w14:paraId="0D568C98" w14:textId="4D18790C" w:rsidR="00EA1C22" w:rsidRPr="00EA1C22" w:rsidRDefault="00F41884" w:rsidP="00EA1C22">
            <w:pPr>
              <w:spacing w:beforeLines="60" w:before="144" w:afterLines="60" w:after="144" w:line="240" w:lineRule="auto"/>
              <w:jc w:val="both"/>
              <w:rPr>
                <w:rFonts w:ascii="Times New Roman" w:eastAsia="Times New Roman" w:hAnsi="Times New Roman" w:cs="Times New Roman"/>
                <w:sz w:val="20"/>
                <w:szCs w:val="20"/>
              </w:rPr>
            </w:pPr>
            <w:r w:rsidRPr="00F41884">
              <w:rPr>
                <w:rFonts w:ascii="Times New Roman" w:eastAsia="Times New Roman" w:hAnsi="Times New Roman" w:cs="Times New Roman"/>
                <w:sz w:val="20"/>
                <w:szCs w:val="20"/>
              </w:rPr>
              <w:t>15-797 Białystok, ul. Gen. Gustawa Orlicz – Dreszera 6</w:t>
            </w:r>
          </w:p>
        </w:tc>
      </w:tr>
      <w:tr w:rsidR="00EA1C22" w:rsidRPr="00EA1C22" w14:paraId="4F020508" w14:textId="77777777" w:rsidTr="002568E5">
        <w:trPr>
          <w:trHeight w:val="188"/>
        </w:trPr>
        <w:tc>
          <w:tcPr>
            <w:tcW w:w="2988" w:type="dxa"/>
            <w:shd w:val="clear" w:color="auto" w:fill="F3F3F3"/>
          </w:tcPr>
          <w:p w14:paraId="0CBBE4B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NIP REGON</w:t>
            </w:r>
          </w:p>
        </w:tc>
        <w:tc>
          <w:tcPr>
            <w:tcW w:w="3240" w:type="dxa"/>
          </w:tcPr>
          <w:p w14:paraId="1F4325BE" w14:textId="6A9A7D99" w:rsidR="00EA1C22" w:rsidRPr="00EA1C22" w:rsidRDefault="00381538"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9662113280</w:t>
            </w:r>
          </w:p>
        </w:tc>
        <w:tc>
          <w:tcPr>
            <w:tcW w:w="3420" w:type="dxa"/>
          </w:tcPr>
          <w:p w14:paraId="6E0B9FE5" w14:textId="6CCBCEAC" w:rsidR="00EA1C22" w:rsidRPr="00EA1C22" w:rsidRDefault="00381538"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367623350</w:t>
            </w:r>
          </w:p>
        </w:tc>
      </w:tr>
      <w:tr w:rsidR="00EA1C22" w:rsidRPr="00EA1C22" w14:paraId="44D623C9" w14:textId="77777777" w:rsidTr="002568E5">
        <w:tc>
          <w:tcPr>
            <w:tcW w:w="2988" w:type="dxa"/>
            <w:shd w:val="clear" w:color="auto" w:fill="F3F3F3"/>
          </w:tcPr>
          <w:p w14:paraId="1B87F30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telefonu</w:t>
            </w:r>
          </w:p>
        </w:tc>
        <w:tc>
          <w:tcPr>
            <w:tcW w:w="6660" w:type="dxa"/>
            <w:gridSpan w:val="2"/>
          </w:tcPr>
          <w:p w14:paraId="49831554" w14:textId="2C058644" w:rsidR="00EA1C22" w:rsidRPr="00EA1C22" w:rsidRDefault="00F41884" w:rsidP="00EA1C22">
            <w:pPr>
              <w:spacing w:beforeLines="60" w:before="144" w:afterLines="60" w:after="144" w:line="240" w:lineRule="auto"/>
              <w:jc w:val="both"/>
              <w:rPr>
                <w:rFonts w:ascii="Times New Roman" w:eastAsia="Times New Roman" w:hAnsi="Times New Roman" w:cs="Times New Roman"/>
                <w:sz w:val="20"/>
                <w:szCs w:val="20"/>
              </w:rPr>
            </w:pPr>
            <w:r w:rsidRPr="00F41884">
              <w:rPr>
                <w:rFonts w:ascii="Times New Roman" w:eastAsia="Times New Roman" w:hAnsi="Times New Roman" w:cs="Times New Roman"/>
                <w:sz w:val="20"/>
                <w:szCs w:val="20"/>
              </w:rPr>
              <w:t>537 503 403</w:t>
            </w:r>
          </w:p>
        </w:tc>
      </w:tr>
      <w:tr w:rsidR="00EA1C22" w:rsidRPr="00EA1C22" w14:paraId="2940BC42" w14:textId="77777777" w:rsidTr="002568E5">
        <w:trPr>
          <w:trHeight w:val="272"/>
        </w:trPr>
        <w:tc>
          <w:tcPr>
            <w:tcW w:w="2988" w:type="dxa"/>
            <w:shd w:val="clear" w:color="auto" w:fill="F3F3F3"/>
          </w:tcPr>
          <w:p w14:paraId="6627C1E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poczty elektronicznej</w:t>
            </w:r>
          </w:p>
        </w:tc>
        <w:tc>
          <w:tcPr>
            <w:tcW w:w="6660" w:type="dxa"/>
            <w:gridSpan w:val="2"/>
          </w:tcPr>
          <w:p w14:paraId="1E471D6E" w14:textId="4F95C5F2" w:rsidR="00EA1C22" w:rsidRPr="00EA1C22" w:rsidRDefault="00F4188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biuro@sekwojadevelopment.pl</w:t>
            </w:r>
          </w:p>
        </w:tc>
      </w:tr>
      <w:tr w:rsidR="00EA1C22" w:rsidRPr="00EA1C22" w14:paraId="210C5022" w14:textId="77777777" w:rsidTr="002568E5">
        <w:tc>
          <w:tcPr>
            <w:tcW w:w="2988" w:type="dxa"/>
            <w:shd w:val="clear" w:color="auto" w:fill="F3F3F3"/>
          </w:tcPr>
          <w:p w14:paraId="33830BC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faksu</w:t>
            </w:r>
          </w:p>
        </w:tc>
        <w:tc>
          <w:tcPr>
            <w:tcW w:w="6660" w:type="dxa"/>
            <w:gridSpan w:val="2"/>
          </w:tcPr>
          <w:p w14:paraId="4567253C" w14:textId="347F3A0B" w:rsidR="00EA1C22" w:rsidRPr="00EA1C22" w:rsidRDefault="00F4188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60525322" w14:textId="77777777" w:rsidTr="002568E5">
        <w:trPr>
          <w:trHeight w:val="218"/>
        </w:trPr>
        <w:tc>
          <w:tcPr>
            <w:tcW w:w="2988" w:type="dxa"/>
            <w:shd w:val="clear" w:color="auto" w:fill="F3F3F3"/>
          </w:tcPr>
          <w:p w14:paraId="706AD9F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strony internetowej dewelopera</w:t>
            </w:r>
          </w:p>
        </w:tc>
        <w:tc>
          <w:tcPr>
            <w:tcW w:w="6660" w:type="dxa"/>
            <w:gridSpan w:val="2"/>
          </w:tcPr>
          <w:p w14:paraId="4E3848EC" w14:textId="44B8DA91" w:rsidR="00EA1C22" w:rsidRPr="00EA1C22" w:rsidRDefault="00F41884" w:rsidP="00EA1C22">
            <w:pPr>
              <w:spacing w:beforeLines="60" w:before="144" w:afterLines="60" w:after="144" w:line="240" w:lineRule="auto"/>
              <w:jc w:val="both"/>
              <w:rPr>
                <w:rFonts w:ascii="Times New Roman" w:eastAsia="Times New Roman" w:hAnsi="Times New Roman" w:cs="Times New Roman"/>
                <w:sz w:val="20"/>
                <w:szCs w:val="20"/>
              </w:rPr>
            </w:pPr>
            <w:r w:rsidRPr="00F41884">
              <w:rPr>
                <w:rFonts w:ascii="Times New Roman" w:eastAsia="Times New Roman" w:hAnsi="Times New Roman" w:cs="Times New Roman"/>
                <w:sz w:val="20"/>
                <w:szCs w:val="20"/>
              </w:rPr>
              <w:t>https://sekwojadevelopment.pl/</w:t>
            </w:r>
          </w:p>
        </w:tc>
      </w:tr>
    </w:tbl>
    <w:p w14:paraId="514C318B" w14:textId="77777777" w:rsidR="00EA1C22" w:rsidRPr="00EA1C22"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863B08" w:rsidRPr="00EA1C22" w14:paraId="5BCAC370" w14:textId="77777777" w:rsidTr="002568E5">
        <w:trPr>
          <w:trHeight w:val="704"/>
        </w:trPr>
        <w:tc>
          <w:tcPr>
            <w:tcW w:w="9648" w:type="dxa"/>
            <w:tcBorders>
              <w:bottom w:val="single" w:sz="4" w:space="0" w:color="auto"/>
            </w:tcBorders>
            <w:shd w:val="clear" w:color="auto" w:fill="E0E0E0"/>
          </w:tcPr>
          <w:p w14:paraId="53C8DCC8" w14:textId="7D7A5314" w:rsidR="00863B08" w:rsidRPr="00863B08" w:rsidRDefault="00863B08" w:rsidP="00863B08">
            <w:pPr>
              <w:spacing w:beforeLines="60" w:before="144" w:afterLines="60" w:after="144" w:line="240" w:lineRule="auto"/>
              <w:jc w:val="both"/>
              <w:rPr>
                <w:rFonts w:cs="Times New Roman"/>
                <w:b/>
                <w:sz w:val="20"/>
              </w:rPr>
            </w:pPr>
            <w:r w:rsidRPr="00863B08">
              <w:rPr>
                <w:rFonts w:cs="Times New Roman"/>
                <w:b/>
                <w:sz w:val="20"/>
              </w:rPr>
              <w:t>HISTORIA I UDOKUMENTOWANE 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EA1C22" w14:paraId="5E6EC15D" w14:textId="77777777" w:rsidTr="002568E5">
        <w:tc>
          <w:tcPr>
            <w:tcW w:w="9648" w:type="dxa"/>
            <w:gridSpan w:val="2"/>
            <w:tcBorders>
              <w:bottom w:val="single" w:sz="4" w:space="0" w:color="auto"/>
            </w:tcBorders>
            <w:shd w:val="clear" w:color="auto" w:fill="E0E0E0"/>
          </w:tcPr>
          <w:p w14:paraId="1F9CD39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tym</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ostatnie)</w:t>
            </w:r>
          </w:p>
        </w:tc>
      </w:tr>
      <w:tr w:rsidR="00381538" w:rsidRPr="00EA1C22" w14:paraId="4A9C942C" w14:textId="77777777" w:rsidTr="009E3BDE">
        <w:trPr>
          <w:trHeight w:val="135"/>
        </w:trPr>
        <w:tc>
          <w:tcPr>
            <w:tcW w:w="2813" w:type="dxa"/>
            <w:shd w:val="clear" w:color="auto" w:fill="F3F3F3"/>
          </w:tcPr>
          <w:p w14:paraId="59FD07BE" w14:textId="77777777" w:rsidR="00381538" w:rsidRPr="00EA1C22"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5B1EE0A2" w14:textId="7C2C0B17"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hAnsi="Times New Roman" w:cs="Times New Roman"/>
                <w:sz w:val="20"/>
                <w:szCs w:val="20"/>
              </w:rPr>
              <w:t>ul. Imbirowa, Grabówka – Bliźniaki</w:t>
            </w:r>
          </w:p>
        </w:tc>
      </w:tr>
      <w:tr w:rsidR="00381538" w:rsidRPr="00EA1C22" w14:paraId="472A7BDA" w14:textId="77777777" w:rsidTr="00F0013A">
        <w:tc>
          <w:tcPr>
            <w:tcW w:w="2813" w:type="dxa"/>
            <w:shd w:val="clear" w:color="auto" w:fill="F3F3F3"/>
          </w:tcPr>
          <w:p w14:paraId="73ED3658" w14:textId="77777777" w:rsidR="00381538" w:rsidRPr="00863B0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863B08">
              <w:rPr>
                <w:rFonts w:ascii="Times New Roman" w:eastAsia="Times New Roman" w:hAnsi="Times New Roman" w:cs="Times New Roman"/>
                <w:sz w:val="20"/>
                <w:szCs w:val="20"/>
              </w:rPr>
              <w:t xml:space="preserve">Data rozpoczęcia </w:t>
            </w:r>
          </w:p>
        </w:tc>
        <w:tc>
          <w:tcPr>
            <w:tcW w:w="6835" w:type="dxa"/>
            <w:vAlign w:val="bottom"/>
          </w:tcPr>
          <w:p w14:paraId="6E4AD06B" w14:textId="1A001E03"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hAnsi="Times New Roman" w:cs="Times New Roman"/>
                <w:sz w:val="20"/>
                <w:szCs w:val="20"/>
              </w:rPr>
              <w:t>04.10.2018</w:t>
            </w:r>
          </w:p>
        </w:tc>
      </w:tr>
      <w:tr w:rsidR="00381538" w:rsidRPr="00EA1C22" w14:paraId="78464BC8" w14:textId="77777777" w:rsidTr="00F0013A">
        <w:tc>
          <w:tcPr>
            <w:tcW w:w="2813" w:type="dxa"/>
            <w:shd w:val="clear" w:color="auto" w:fill="F3F3F3"/>
          </w:tcPr>
          <w:p w14:paraId="43DE3216" w14:textId="1973C35A" w:rsidR="00381538" w:rsidRPr="00863B0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863B08">
              <w:rPr>
                <w:rFonts w:ascii="Times New Roman" w:eastAsia="Times New Roman" w:hAnsi="Times New Roman" w:cs="Times New Roman"/>
                <w:sz w:val="20"/>
                <w:szCs w:val="20"/>
              </w:rPr>
              <w:t xml:space="preserve">Data wydania decyzji </w:t>
            </w:r>
            <w:r w:rsidRPr="00863B08">
              <w:rPr>
                <w:rFonts w:ascii="Times New Roman" w:hAnsi="Times New Roman" w:cs="Times New Roman"/>
              </w:rPr>
              <w:t>o pozwoleniu</w:t>
            </w:r>
            <w:r w:rsidRPr="00863B08">
              <w:rPr>
                <w:rFonts w:ascii="Times New Roman" w:eastAsia="Times New Roman" w:hAnsi="Times New Roman" w:cs="Times New Roman"/>
                <w:sz w:val="20"/>
                <w:szCs w:val="20"/>
              </w:rPr>
              <w:t xml:space="preserve"> na użytkowanie</w:t>
            </w:r>
          </w:p>
        </w:tc>
        <w:tc>
          <w:tcPr>
            <w:tcW w:w="6835" w:type="dxa"/>
            <w:vAlign w:val="bottom"/>
          </w:tcPr>
          <w:p w14:paraId="3E34524E" w14:textId="63665F1C"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18.08.2020</w:t>
            </w:r>
          </w:p>
        </w:tc>
      </w:tr>
      <w:tr w:rsidR="00381538" w:rsidRPr="00EA1C22" w14:paraId="2D09B183" w14:textId="77777777" w:rsidTr="002568E5">
        <w:tc>
          <w:tcPr>
            <w:tcW w:w="9648" w:type="dxa"/>
            <w:gridSpan w:val="2"/>
            <w:tcBorders>
              <w:bottom w:val="single" w:sz="4" w:space="0" w:color="auto"/>
            </w:tcBorders>
            <w:shd w:val="clear" w:color="auto" w:fill="E0E0E0"/>
          </w:tcPr>
          <w:p w14:paraId="3BD62281" w14:textId="77777777" w:rsidR="00381538" w:rsidRPr="00EA1C22" w:rsidRDefault="00381538" w:rsidP="00381538">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INNEGO UKOŃCZONEGO PRZEDSIĘWZIĘCIA DEWELOPERSKIEGO</w:t>
            </w:r>
          </w:p>
          <w:p w14:paraId="20F6899B" w14:textId="77777777" w:rsidR="00381538" w:rsidRPr="00EA1C22" w:rsidRDefault="00381538" w:rsidP="00381538">
            <w:pPr>
              <w:spacing w:beforeLines="60" w:before="144" w:afterLines="60" w:after="144" w:line="240" w:lineRule="auto"/>
              <w:jc w:val="both"/>
              <w:rPr>
                <w:rFonts w:ascii="Times New Roman" w:eastAsia="Times New Roman" w:hAnsi="Times New Roman" w:cs="Times New Roman"/>
                <w:b/>
                <w:sz w:val="20"/>
                <w:szCs w:val="20"/>
              </w:rPr>
            </w:pPr>
          </w:p>
        </w:tc>
      </w:tr>
      <w:tr w:rsidR="00381538" w:rsidRPr="00EA1C22" w14:paraId="5AA46E14" w14:textId="77777777" w:rsidTr="00D2634D">
        <w:trPr>
          <w:trHeight w:val="135"/>
        </w:trPr>
        <w:tc>
          <w:tcPr>
            <w:tcW w:w="2813" w:type="dxa"/>
            <w:shd w:val="clear" w:color="auto" w:fill="F3F3F3"/>
          </w:tcPr>
          <w:p w14:paraId="67EBBCE3" w14:textId="77777777" w:rsidR="00381538" w:rsidRPr="00EA1C22"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 xml:space="preserve">Adres </w:t>
            </w:r>
          </w:p>
        </w:tc>
        <w:tc>
          <w:tcPr>
            <w:tcW w:w="6835" w:type="dxa"/>
            <w:vAlign w:val="bottom"/>
          </w:tcPr>
          <w:p w14:paraId="59BA498C" w14:textId="3303E694"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hAnsi="Times New Roman" w:cs="Times New Roman"/>
                <w:sz w:val="20"/>
                <w:szCs w:val="20"/>
              </w:rPr>
              <w:t>ul. Królewska Sowlany - Bliźniaki</w:t>
            </w:r>
          </w:p>
        </w:tc>
      </w:tr>
      <w:tr w:rsidR="00381538" w:rsidRPr="00EA1C22" w14:paraId="55150B53" w14:textId="77777777" w:rsidTr="00D2634D">
        <w:tc>
          <w:tcPr>
            <w:tcW w:w="2813" w:type="dxa"/>
            <w:shd w:val="clear" w:color="auto" w:fill="F3F3F3"/>
          </w:tcPr>
          <w:p w14:paraId="711FD685" w14:textId="77777777" w:rsidR="00381538" w:rsidRPr="00EA1C22"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vAlign w:val="bottom"/>
          </w:tcPr>
          <w:p w14:paraId="6D75A3AD" w14:textId="42DB800F"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01.05.2018</w:t>
            </w:r>
          </w:p>
        </w:tc>
      </w:tr>
      <w:tr w:rsidR="00381538" w:rsidRPr="00EA1C22" w14:paraId="045F1ED6" w14:textId="77777777" w:rsidTr="00D2634D">
        <w:tc>
          <w:tcPr>
            <w:tcW w:w="2813" w:type="dxa"/>
            <w:shd w:val="clear" w:color="auto" w:fill="F3F3F3"/>
          </w:tcPr>
          <w:p w14:paraId="23604326" w14:textId="77777777" w:rsidR="00381538" w:rsidRPr="00EA1C22"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vAlign w:val="bottom"/>
          </w:tcPr>
          <w:p w14:paraId="3EFCD408" w14:textId="4F0DBC78"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04.07.2019</w:t>
            </w:r>
          </w:p>
        </w:tc>
      </w:tr>
      <w:tr w:rsidR="00381538" w:rsidRPr="00EA1C22" w14:paraId="5E95AD73" w14:textId="77777777" w:rsidTr="002568E5">
        <w:tc>
          <w:tcPr>
            <w:tcW w:w="9648" w:type="dxa"/>
            <w:gridSpan w:val="2"/>
            <w:tcBorders>
              <w:bottom w:val="single" w:sz="4" w:space="0" w:color="auto"/>
            </w:tcBorders>
            <w:shd w:val="clear" w:color="auto" w:fill="E0E0E0"/>
          </w:tcPr>
          <w:p w14:paraId="502EA8BF" w14:textId="77777777" w:rsidR="00381538" w:rsidRPr="00863B08" w:rsidRDefault="00381538" w:rsidP="00381538">
            <w:pPr>
              <w:spacing w:before="100" w:beforeAutospacing="1" w:after="100" w:afterAutospacing="1" w:line="240" w:lineRule="auto"/>
              <w:jc w:val="both"/>
              <w:rPr>
                <w:rFonts w:ascii="Times New Roman" w:eastAsia="Times New Roman" w:hAnsi="Times New Roman" w:cs="Times New Roman"/>
                <w:b/>
                <w:sz w:val="20"/>
                <w:szCs w:val="20"/>
              </w:rPr>
            </w:pPr>
            <w:r w:rsidRPr="00863B08">
              <w:rPr>
                <w:rFonts w:ascii="Times New Roman" w:eastAsia="Times New Roman" w:hAnsi="Times New Roman" w:cs="Times New Roman"/>
                <w:b/>
                <w:sz w:val="20"/>
                <w:szCs w:val="20"/>
              </w:rPr>
              <w:t>PRZYKŁAD OSTATNIEGO UKOŃCZONEGO PRZEDSIĘWZIĘCIA DEWELOPERSKIEGO</w:t>
            </w:r>
          </w:p>
          <w:p w14:paraId="290C7949" w14:textId="77777777" w:rsidR="00381538" w:rsidRPr="00863B08" w:rsidRDefault="00381538" w:rsidP="00381538">
            <w:pPr>
              <w:spacing w:before="100" w:beforeAutospacing="1" w:after="100" w:afterAutospacing="1" w:line="240" w:lineRule="auto"/>
              <w:jc w:val="both"/>
              <w:rPr>
                <w:rFonts w:ascii="Times New Roman" w:eastAsia="Times New Roman" w:hAnsi="Times New Roman" w:cs="Times New Roman"/>
                <w:b/>
                <w:sz w:val="20"/>
                <w:szCs w:val="20"/>
              </w:rPr>
            </w:pPr>
          </w:p>
        </w:tc>
      </w:tr>
      <w:tr w:rsidR="00381538" w:rsidRPr="00EA1C22" w14:paraId="212EF7F0" w14:textId="77777777" w:rsidTr="00F34EFF">
        <w:trPr>
          <w:trHeight w:val="135"/>
        </w:trPr>
        <w:tc>
          <w:tcPr>
            <w:tcW w:w="2813" w:type="dxa"/>
            <w:shd w:val="clear" w:color="auto" w:fill="F3F3F3"/>
          </w:tcPr>
          <w:p w14:paraId="2F2BFD01" w14:textId="77777777"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 xml:space="preserve">Adres </w:t>
            </w:r>
          </w:p>
        </w:tc>
        <w:tc>
          <w:tcPr>
            <w:tcW w:w="6835" w:type="dxa"/>
            <w:vAlign w:val="bottom"/>
          </w:tcPr>
          <w:p w14:paraId="4595DC3D" w14:textId="5682EFAC"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hAnsi="Times New Roman" w:cs="Times New Roman"/>
                <w:sz w:val="20"/>
                <w:szCs w:val="20"/>
              </w:rPr>
              <w:t>ul. Daktylowa Grabówka - Bliźniaki</w:t>
            </w:r>
          </w:p>
        </w:tc>
      </w:tr>
      <w:tr w:rsidR="00381538" w:rsidRPr="00EA1C22" w14:paraId="665A1350" w14:textId="77777777" w:rsidTr="00F34EFF">
        <w:tc>
          <w:tcPr>
            <w:tcW w:w="2813" w:type="dxa"/>
            <w:shd w:val="clear" w:color="auto" w:fill="F3F3F3"/>
          </w:tcPr>
          <w:p w14:paraId="21EA7B9F" w14:textId="77777777"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 xml:space="preserve">Data rozpoczęcia </w:t>
            </w:r>
          </w:p>
        </w:tc>
        <w:tc>
          <w:tcPr>
            <w:tcW w:w="6835" w:type="dxa"/>
            <w:vAlign w:val="bottom"/>
          </w:tcPr>
          <w:p w14:paraId="3B95368A" w14:textId="4B9383EC"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29.07.2021</w:t>
            </w:r>
          </w:p>
        </w:tc>
      </w:tr>
      <w:tr w:rsidR="00381538" w:rsidRPr="00EA1C22" w14:paraId="069B7EFA" w14:textId="77777777" w:rsidTr="00F34EFF">
        <w:tc>
          <w:tcPr>
            <w:tcW w:w="2813" w:type="dxa"/>
            <w:shd w:val="clear" w:color="auto" w:fill="F3F3F3"/>
          </w:tcPr>
          <w:p w14:paraId="28A3D355" w14:textId="77777777"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Data wydania decyzji o pozwoleniu na użytkowanie</w:t>
            </w:r>
          </w:p>
        </w:tc>
        <w:tc>
          <w:tcPr>
            <w:tcW w:w="6835" w:type="dxa"/>
            <w:vAlign w:val="bottom"/>
          </w:tcPr>
          <w:p w14:paraId="2FEF339B" w14:textId="26B97137" w:rsidR="00381538" w:rsidRPr="00381538" w:rsidRDefault="00381538" w:rsidP="00381538">
            <w:pPr>
              <w:spacing w:beforeLines="60" w:before="144" w:afterLines="60" w:after="144" w:line="240" w:lineRule="auto"/>
              <w:jc w:val="both"/>
              <w:rPr>
                <w:rFonts w:ascii="Times New Roman" w:eastAsia="Times New Roman" w:hAnsi="Times New Roman" w:cs="Times New Roman"/>
                <w:sz w:val="20"/>
                <w:szCs w:val="20"/>
              </w:rPr>
            </w:pPr>
            <w:r w:rsidRPr="00381538">
              <w:rPr>
                <w:rFonts w:ascii="Times New Roman" w:eastAsia="Times New Roman" w:hAnsi="Times New Roman" w:cs="Times New Roman"/>
                <w:sz w:val="20"/>
                <w:szCs w:val="20"/>
              </w:rPr>
              <w:t>08.09.2022</w:t>
            </w:r>
          </w:p>
        </w:tc>
      </w:tr>
    </w:tbl>
    <w:p w14:paraId="1663031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A1C22" w14:paraId="6C4DEFFA" w14:textId="77777777" w:rsidTr="002568E5">
        <w:tc>
          <w:tcPr>
            <w:tcW w:w="2808" w:type="dxa"/>
            <w:shd w:val="clear" w:color="auto" w:fill="F3F3F3"/>
          </w:tcPr>
          <w:p w14:paraId="6F7AE4D1" w14:textId="77777777" w:rsidR="00EA1C22" w:rsidRPr="00E82A83"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82A83">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58A9271A" w14:textId="57DD40CB" w:rsidR="00EA1C22" w:rsidRPr="00E82A83" w:rsidRDefault="00863B08" w:rsidP="00EA1C22">
            <w:pPr>
              <w:spacing w:beforeLines="60" w:before="144" w:afterLines="60" w:after="144" w:line="240" w:lineRule="auto"/>
              <w:jc w:val="both"/>
              <w:rPr>
                <w:rFonts w:ascii="Times New Roman" w:eastAsia="Times New Roman" w:hAnsi="Times New Roman" w:cs="Times New Roman"/>
                <w:b/>
                <w:sz w:val="20"/>
                <w:szCs w:val="20"/>
              </w:rPr>
            </w:pPr>
            <w:r w:rsidRPr="00E82A83">
              <w:rPr>
                <w:rFonts w:ascii="Times New Roman" w:hAnsi="Times New Roman" w:cs="Times New Roman"/>
                <w:sz w:val="20"/>
                <w:szCs w:val="20"/>
              </w:rPr>
              <w:t>Nie jest prowadzone i nie było żadne postępowanie egzekucyjne.</w:t>
            </w:r>
          </w:p>
        </w:tc>
      </w:tr>
    </w:tbl>
    <w:p w14:paraId="04FC3A5E" w14:textId="77777777" w:rsidR="00EA1C22"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761EFA57" w14:textId="77777777" w:rsidR="00331C35" w:rsidRPr="00EA1C22" w:rsidRDefault="00331C35" w:rsidP="00921952">
      <w:pPr>
        <w:spacing w:beforeLines="60" w:before="144" w:after="0" w:line="240" w:lineRule="auto"/>
        <w:jc w:val="both"/>
        <w:rPr>
          <w:rFonts w:ascii="Times New Roman" w:eastAsia="Times New Roman" w:hAnsi="Times New Roman" w:cs="Times New Roman"/>
          <w:b/>
          <w:bCs/>
          <w:sz w:val="16"/>
          <w:szCs w:val="20"/>
        </w:rPr>
      </w:pPr>
    </w:p>
    <w:p w14:paraId="5B57D507" w14:textId="77777777" w:rsidR="00EA1C22" w:rsidRPr="00EA1C22"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5117"/>
      </w:tblGrid>
      <w:tr w:rsidR="00EA1C22" w:rsidRPr="00EA1C22" w14:paraId="251DF3E2" w14:textId="77777777" w:rsidTr="002568E5">
        <w:tc>
          <w:tcPr>
            <w:tcW w:w="9648" w:type="dxa"/>
            <w:gridSpan w:val="3"/>
            <w:tcBorders>
              <w:bottom w:val="single" w:sz="4" w:space="0" w:color="auto"/>
            </w:tcBorders>
            <w:shd w:val="clear" w:color="auto" w:fill="E0E0E0"/>
          </w:tcPr>
          <w:p w14:paraId="5394662D"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GRUNTU I ZAGOSPODAROWANIA PRZESTRZENNEGO TERENU</w:t>
            </w:r>
          </w:p>
          <w:p w14:paraId="7F20B71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44D76D47" w14:textId="77777777" w:rsidTr="00AA531E">
        <w:trPr>
          <w:trHeight w:val="135"/>
        </w:trPr>
        <w:tc>
          <w:tcPr>
            <w:tcW w:w="2405" w:type="dxa"/>
            <w:shd w:val="clear" w:color="auto" w:fill="F3F3F3"/>
          </w:tcPr>
          <w:p w14:paraId="0921F3D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i numer działki ewidencyjnej i obrębu</w:t>
            </w:r>
            <w:r w:rsidRPr="00EA1C22">
              <w:rPr>
                <w:rFonts w:ascii="Times New Roman" w:eastAsia="Times New Roman" w:hAnsi="Times New Roman" w:cs="Times New Roman"/>
                <w:sz w:val="20"/>
                <w:szCs w:val="20"/>
                <w:vertAlign w:val="superscript"/>
              </w:rPr>
              <w:footnoteReference w:customMarkFollows="1" w:id="1"/>
              <w:t>1)</w:t>
            </w:r>
          </w:p>
        </w:tc>
        <w:tc>
          <w:tcPr>
            <w:tcW w:w="7243" w:type="dxa"/>
            <w:gridSpan w:val="2"/>
          </w:tcPr>
          <w:p w14:paraId="7694C85C" w14:textId="1AEBB185" w:rsidR="00EA1C22" w:rsidRPr="00EA1C22" w:rsidRDefault="00170BE8" w:rsidP="00EA1C22">
            <w:pPr>
              <w:spacing w:beforeLines="60" w:before="144" w:afterLines="60" w:after="144" w:line="240" w:lineRule="auto"/>
              <w:jc w:val="both"/>
              <w:rPr>
                <w:rFonts w:ascii="Times New Roman" w:eastAsia="Times New Roman" w:hAnsi="Times New Roman" w:cs="Times New Roman"/>
                <w:sz w:val="20"/>
                <w:szCs w:val="20"/>
              </w:rPr>
            </w:pPr>
            <w:r w:rsidRPr="00170BE8">
              <w:rPr>
                <w:rFonts w:ascii="Times New Roman" w:eastAsia="Times New Roman" w:hAnsi="Times New Roman" w:cs="Times New Roman"/>
                <w:sz w:val="20"/>
                <w:szCs w:val="20"/>
              </w:rPr>
              <w:t>Nieruchomość położona w</w:t>
            </w:r>
            <w:r>
              <w:rPr>
                <w:rFonts w:ascii="Times New Roman" w:eastAsia="Times New Roman" w:hAnsi="Times New Roman" w:cs="Times New Roman"/>
                <w:sz w:val="20"/>
                <w:szCs w:val="20"/>
              </w:rPr>
              <w:t xml:space="preserve"> </w:t>
            </w:r>
            <w:r w:rsidR="00381538">
              <w:rPr>
                <w:rFonts w:ascii="Times New Roman" w:eastAsia="Times New Roman" w:hAnsi="Times New Roman" w:cs="Times New Roman"/>
                <w:sz w:val="20"/>
                <w:szCs w:val="20"/>
              </w:rPr>
              <w:t>Grabówce</w:t>
            </w:r>
            <w:r w:rsidRPr="00170BE8">
              <w:rPr>
                <w:rFonts w:ascii="Times New Roman" w:eastAsia="Times New Roman" w:hAnsi="Times New Roman" w:cs="Times New Roman"/>
                <w:sz w:val="20"/>
                <w:szCs w:val="20"/>
              </w:rPr>
              <w:t xml:space="preserve">, obręb </w:t>
            </w:r>
            <w:r w:rsidR="00381538">
              <w:rPr>
                <w:rFonts w:ascii="Times New Roman" w:eastAsia="Times New Roman" w:hAnsi="Times New Roman" w:cs="Times New Roman"/>
                <w:sz w:val="20"/>
                <w:szCs w:val="20"/>
              </w:rPr>
              <w:t>Grabówka</w:t>
            </w:r>
            <w:r w:rsidRPr="00170BE8">
              <w:rPr>
                <w:rFonts w:ascii="Times New Roman" w:eastAsia="Times New Roman" w:hAnsi="Times New Roman" w:cs="Times New Roman"/>
                <w:sz w:val="20"/>
                <w:szCs w:val="20"/>
              </w:rPr>
              <w:t>, działki oznaczone nr geod</w:t>
            </w:r>
            <w:r>
              <w:rPr>
                <w:rFonts w:ascii="Times New Roman" w:eastAsia="Times New Roman" w:hAnsi="Times New Roman" w:cs="Times New Roman"/>
                <w:sz w:val="20"/>
                <w:szCs w:val="20"/>
              </w:rPr>
              <w:t>.</w:t>
            </w:r>
            <w:r w:rsidRPr="00170BE8">
              <w:rPr>
                <w:rFonts w:ascii="Times New Roman" w:eastAsia="Times New Roman" w:hAnsi="Times New Roman" w:cs="Times New Roman"/>
                <w:sz w:val="20"/>
                <w:szCs w:val="20"/>
              </w:rPr>
              <w:t xml:space="preserve"> </w:t>
            </w:r>
            <w:bookmarkStart w:id="0" w:name="_Hlk207712383"/>
            <w:r w:rsidR="000B756D">
              <w:rPr>
                <w:rFonts w:ascii="Times New Roman" w:eastAsia="Times New Roman" w:hAnsi="Times New Roman" w:cs="Times New Roman"/>
                <w:bCs/>
              </w:rPr>
              <w:t>113/173; 113/174; 113/175; 113/176; 113/177; 113/178; 113/179; 113/180</w:t>
            </w:r>
            <w:bookmarkEnd w:id="0"/>
          </w:p>
        </w:tc>
      </w:tr>
      <w:tr w:rsidR="00EA1C22" w:rsidRPr="00EA1C22" w14:paraId="5503B1DB" w14:textId="77777777" w:rsidTr="00AA531E">
        <w:trPr>
          <w:trHeight w:val="98"/>
        </w:trPr>
        <w:tc>
          <w:tcPr>
            <w:tcW w:w="2405" w:type="dxa"/>
            <w:shd w:val="clear" w:color="auto" w:fill="F3F3F3"/>
          </w:tcPr>
          <w:p w14:paraId="1788206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Numer księgi wieczystej </w:t>
            </w:r>
          </w:p>
        </w:tc>
        <w:tc>
          <w:tcPr>
            <w:tcW w:w="7243" w:type="dxa"/>
            <w:gridSpan w:val="2"/>
          </w:tcPr>
          <w:p w14:paraId="5C4EC5B6" w14:textId="3B3A33CA" w:rsidR="00EA1C22" w:rsidRPr="00B008C7" w:rsidRDefault="00414F83" w:rsidP="00EA1C22">
            <w:pPr>
              <w:spacing w:beforeLines="60" w:before="144" w:afterLines="60" w:after="144" w:line="240" w:lineRule="auto"/>
              <w:jc w:val="both"/>
              <w:rPr>
                <w:rFonts w:ascii="Times New Roman" w:eastAsia="Times New Roman" w:hAnsi="Times New Roman" w:cs="Times New Roman"/>
                <w:b/>
                <w:bCs/>
                <w:sz w:val="20"/>
                <w:szCs w:val="20"/>
                <w:highlight w:val="black"/>
              </w:rPr>
            </w:pPr>
            <w:bookmarkStart w:id="1" w:name="_Hlk207712157"/>
            <w:r w:rsidRPr="00B008C7">
              <w:rPr>
                <w:rFonts w:ascii="Times New Roman" w:eastAsia="Times New Roman" w:hAnsi="Times New Roman" w:cs="Times New Roman"/>
                <w:b/>
                <w:bCs/>
                <w:sz w:val="20"/>
                <w:szCs w:val="20"/>
                <w:highlight w:val="black"/>
              </w:rPr>
              <w:t>BI1B/00048373/1</w:t>
            </w:r>
            <w:bookmarkEnd w:id="1"/>
          </w:p>
        </w:tc>
      </w:tr>
      <w:tr w:rsidR="00EA1C22" w:rsidRPr="00EA1C22" w14:paraId="5F01DAD1" w14:textId="77777777" w:rsidTr="00AA531E">
        <w:trPr>
          <w:trHeight w:val="98"/>
        </w:trPr>
        <w:tc>
          <w:tcPr>
            <w:tcW w:w="2405" w:type="dxa"/>
            <w:shd w:val="clear" w:color="auto" w:fill="F3F3F3"/>
          </w:tcPr>
          <w:p w14:paraId="09CAF72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Istniejące obciążenia hipoteczne nieruchomości lub wnioski o wpis w dziale czwartym księgi wieczystej</w:t>
            </w:r>
          </w:p>
        </w:tc>
        <w:tc>
          <w:tcPr>
            <w:tcW w:w="7243" w:type="dxa"/>
            <w:gridSpan w:val="2"/>
          </w:tcPr>
          <w:p w14:paraId="4A7754ED" w14:textId="35AAF431" w:rsidR="00EA1C22" w:rsidRPr="00EA1C22" w:rsidRDefault="00170BE8"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69386206" w14:textId="77777777" w:rsidTr="00AA531E">
        <w:trPr>
          <w:trHeight w:val="97"/>
        </w:trPr>
        <w:tc>
          <w:tcPr>
            <w:tcW w:w="2405" w:type="dxa"/>
            <w:shd w:val="clear" w:color="auto" w:fill="F3F3F3"/>
          </w:tcPr>
          <w:p w14:paraId="6534722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braku księgi wieczystej informacja o powierzchni działki i stanie prawnym nieruchomości</w:t>
            </w:r>
            <w:r w:rsidRPr="00EA1C22">
              <w:rPr>
                <w:rFonts w:ascii="Times New Roman" w:eastAsia="Times New Roman" w:hAnsi="Times New Roman" w:cs="Times New Roman"/>
                <w:sz w:val="20"/>
                <w:szCs w:val="20"/>
                <w:vertAlign w:val="superscript"/>
              </w:rPr>
              <w:footnoteReference w:customMarkFollows="1" w:id="2"/>
              <w:t>2)</w:t>
            </w:r>
            <w:r w:rsidRPr="00EA1C22">
              <w:rPr>
                <w:rFonts w:ascii="Times New Roman" w:eastAsia="Times New Roman" w:hAnsi="Times New Roman" w:cs="Times New Roman"/>
                <w:sz w:val="20"/>
                <w:szCs w:val="20"/>
              </w:rPr>
              <w:t xml:space="preserve"> </w:t>
            </w:r>
          </w:p>
        </w:tc>
        <w:tc>
          <w:tcPr>
            <w:tcW w:w="7243" w:type="dxa"/>
            <w:gridSpan w:val="2"/>
          </w:tcPr>
          <w:p w14:paraId="280BD6B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AF22591" w14:textId="77777777" w:rsidTr="00AA531E">
        <w:trPr>
          <w:trHeight w:val="1511"/>
        </w:trPr>
        <w:tc>
          <w:tcPr>
            <w:tcW w:w="2405" w:type="dxa"/>
            <w:shd w:val="clear" w:color="auto" w:fill="F3F3F3"/>
          </w:tcPr>
          <w:p w14:paraId="57338C14" w14:textId="2A53CBAC" w:rsidR="00EA1C22" w:rsidRPr="00EA1C22" w:rsidRDefault="00EA1C22" w:rsidP="00170BE8">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Informacje dotyczące obiektów istniejących położonych w sąsiedztwie inwestycji i wpływających na warunki życia</w:t>
            </w:r>
            <w:r w:rsidRPr="00EA1C22">
              <w:rPr>
                <w:rFonts w:ascii="Times New Roman" w:eastAsia="Times New Roman" w:hAnsi="Times New Roman" w:cs="Times New Roman"/>
                <w:sz w:val="20"/>
                <w:szCs w:val="20"/>
                <w:vertAlign w:val="superscript"/>
              </w:rPr>
              <w:footnoteReference w:customMarkFollows="1" w:id="3"/>
              <w:t>3)</w:t>
            </w:r>
            <w:r w:rsidRPr="00EA1C22">
              <w:rPr>
                <w:rFonts w:ascii="Times New Roman" w:eastAsia="Times New Roman" w:hAnsi="Times New Roman" w:cs="Times New Roman"/>
                <w:sz w:val="20"/>
                <w:szCs w:val="20"/>
              </w:rPr>
              <w:t xml:space="preserve"> </w:t>
            </w:r>
          </w:p>
        </w:tc>
        <w:tc>
          <w:tcPr>
            <w:tcW w:w="7243" w:type="dxa"/>
            <w:gridSpan w:val="2"/>
          </w:tcPr>
          <w:p w14:paraId="56D315A4" w14:textId="5712136E" w:rsidR="00EA1C22" w:rsidRPr="00D37604" w:rsidRDefault="00170BE8" w:rsidP="00EA1C22">
            <w:pPr>
              <w:spacing w:beforeLines="60" w:before="144" w:afterLines="60" w:after="144" w:line="240" w:lineRule="auto"/>
              <w:jc w:val="both"/>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rPr>
              <w:t>Brak obiektów generujących uciążliwości zapachowe, hałasowe, świetlne.</w:t>
            </w:r>
          </w:p>
        </w:tc>
      </w:tr>
      <w:tr w:rsidR="00EA1C22" w:rsidRPr="00EA1C22" w14:paraId="507EF45B" w14:textId="77777777" w:rsidTr="00AA531E">
        <w:trPr>
          <w:trHeight w:val="320"/>
        </w:trPr>
        <w:tc>
          <w:tcPr>
            <w:tcW w:w="2405" w:type="dxa"/>
            <w:vMerge w:val="restart"/>
            <w:shd w:val="clear" w:color="auto" w:fill="F3F3F3"/>
          </w:tcPr>
          <w:p w14:paraId="3698289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0659AE2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 </w:t>
            </w:r>
          </w:p>
        </w:tc>
        <w:tc>
          <w:tcPr>
            <w:tcW w:w="2126" w:type="dxa"/>
          </w:tcPr>
          <w:p w14:paraId="397BCA37" w14:textId="77777777" w:rsidR="00EA1C22" w:rsidRPr="00D37604" w:rsidRDefault="00EA1C22" w:rsidP="00D37604">
            <w:pPr>
              <w:spacing w:beforeLines="60" w:before="144" w:afterLines="60" w:after="144" w:line="240" w:lineRule="auto"/>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lang w:eastAsia="pl-PL"/>
              </w:rPr>
              <w:t>Ramowe studium uwarunkowań i kierunków zagospodarowania przestrzennego związku metropolitalnego</w:t>
            </w:r>
          </w:p>
        </w:tc>
        <w:tc>
          <w:tcPr>
            <w:tcW w:w="5117" w:type="dxa"/>
          </w:tcPr>
          <w:p w14:paraId="5D097FF6" w14:textId="4761B04C" w:rsidR="00EA1C22" w:rsidRPr="001F6767" w:rsidRDefault="001F6767" w:rsidP="00D37604">
            <w:pPr>
              <w:spacing w:beforeLines="60" w:before="144" w:afterLines="60" w:after="144" w:line="240" w:lineRule="auto"/>
              <w:jc w:val="both"/>
              <w:rPr>
                <w:rFonts w:ascii="Times New Roman" w:eastAsia="Times New Roman" w:hAnsi="Times New Roman" w:cs="Times New Roman"/>
                <w:sz w:val="18"/>
                <w:szCs w:val="18"/>
              </w:rPr>
            </w:pPr>
            <w:r w:rsidRPr="001F6767">
              <w:rPr>
                <w:rFonts w:ascii="Times New Roman" w:eastAsia="Times New Roman" w:hAnsi="Times New Roman" w:cs="Times New Roman"/>
                <w:sz w:val="18"/>
                <w:szCs w:val="18"/>
              </w:rPr>
              <w:t>Brak</w:t>
            </w:r>
          </w:p>
        </w:tc>
      </w:tr>
      <w:tr w:rsidR="00EA1C22" w:rsidRPr="00EA1C22" w14:paraId="441562BF" w14:textId="77777777" w:rsidTr="00AA531E">
        <w:trPr>
          <w:trHeight w:val="317"/>
        </w:trPr>
        <w:tc>
          <w:tcPr>
            <w:tcW w:w="2405" w:type="dxa"/>
            <w:vMerge/>
            <w:shd w:val="clear" w:color="auto" w:fill="F3F3F3"/>
          </w:tcPr>
          <w:p w14:paraId="317127C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2126" w:type="dxa"/>
          </w:tcPr>
          <w:p w14:paraId="5D105D54" w14:textId="77777777" w:rsidR="00EA1C22" w:rsidRPr="00D37604" w:rsidRDefault="00EA1C22" w:rsidP="00D37604">
            <w:pPr>
              <w:spacing w:beforeLines="60" w:before="144" w:afterLines="60" w:after="144" w:line="240" w:lineRule="auto"/>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lang w:eastAsia="pl-PL"/>
              </w:rPr>
              <w:t>Studium uwarunkowań i kierunków zagospodarowania przestrzennego gminy</w:t>
            </w:r>
          </w:p>
        </w:tc>
        <w:tc>
          <w:tcPr>
            <w:tcW w:w="5117" w:type="dxa"/>
          </w:tcPr>
          <w:p w14:paraId="4831BB2E" w14:textId="77777777" w:rsidR="00131441" w:rsidRPr="00131441" w:rsidRDefault="00131441" w:rsidP="00131441">
            <w:pPr>
              <w:spacing w:beforeLines="60" w:before="144" w:afterLines="60" w:after="144" w:line="240" w:lineRule="auto"/>
              <w:jc w:val="both"/>
              <w:rPr>
                <w:rFonts w:ascii="Times New Roman" w:eastAsia="Times New Roman" w:hAnsi="Times New Roman" w:cs="Times New Roman"/>
                <w:sz w:val="18"/>
                <w:szCs w:val="18"/>
              </w:rPr>
            </w:pPr>
            <w:r w:rsidRPr="00131441">
              <w:rPr>
                <w:rFonts w:ascii="Times New Roman" w:eastAsia="Times New Roman" w:hAnsi="Times New Roman" w:cs="Times New Roman"/>
                <w:sz w:val="18"/>
                <w:szCs w:val="18"/>
              </w:rPr>
              <w:t xml:space="preserve">Obowiązuje uchwała: nr XXXI/391/2021 Rady Miejskiej w Supraślu z dnia 29 listopada 2021 r. </w:t>
            </w:r>
          </w:p>
          <w:p w14:paraId="57D93D66" w14:textId="36E6A6BB" w:rsidR="00EA1C22" w:rsidRPr="00D37604" w:rsidRDefault="00131441" w:rsidP="00131441">
            <w:pPr>
              <w:pStyle w:val="TableParagraph"/>
              <w:ind w:right="93"/>
              <w:rPr>
                <w:sz w:val="18"/>
                <w:szCs w:val="18"/>
                <w:u w:val="single"/>
              </w:rPr>
            </w:pPr>
            <w:hyperlink r:id="rId8" w:history="1">
              <w:r w:rsidRPr="00131441">
                <w:rPr>
                  <w:rStyle w:val="Hipercze"/>
                  <w:color w:val="auto"/>
                  <w:sz w:val="18"/>
                  <w:szCs w:val="18"/>
                </w:rPr>
                <w:t>https://bip-umsuprasl.wrotapodlasia.pl/resource/14696/Studiumtekst_suprasl_uchwala_23grudzien.pdf</w:t>
              </w:r>
            </w:hyperlink>
          </w:p>
        </w:tc>
      </w:tr>
      <w:tr w:rsidR="00EA1C22" w:rsidRPr="00EA1C22" w14:paraId="1400FF47" w14:textId="77777777" w:rsidTr="00AA531E">
        <w:trPr>
          <w:trHeight w:val="317"/>
        </w:trPr>
        <w:tc>
          <w:tcPr>
            <w:tcW w:w="2405" w:type="dxa"/>
            <w:vMerge/>
            <w:shd w:val="clear" w:color="auto" w:fill="F3F3F3"/>
          </w:tcPr>
          <w:p w14:paraId="037A1A6C" w14:textId="77777777" w:rsidR="00EA1C22" w:rsidRPr="00EA1C22" w:rsidRDefault="00EA1C22" w:rsidP="00D37604">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2126" w:type="dxa"/>
          </w:tcPr>
          <w:p w14:paraId="7E545D53" w14:textId="48A9F006" w:rsidR="00D37604" w:rsidRPr="00D37604" w:rsidRDefault="00D37604" w:rsidP="00D37604">
            <w:pPr>
              <w:spacing w:beforeLines="60" w:before="144" w:afterLines="60" w:after="144" w:line="240" w:lineRule="auto"/>
              <w:rPr>
                <w:rFonts w:ascii="Times New Roman" w:eastAsia="Times New Roman" w:hAnsi="Times New Roman" w:cs="Times New Roman"/>
                <w:sz w:val="18"/>
                <w:szCs w:val="18"/>
                <w:lang w:eastAsia="pl-PL"/>
              </w:rPr>
            </w:pPr>
            <w:r w:rsidRPr="009038AA">
              <w:rPr>
                <w:rFonts w:ascii="Times New Roman" w:eastAsia="Times New Roman" w:hAnsi="Times New Roman" w:cs="Times New Roman"/>
                <w:sz w:val="20"/>
                <w:szCs w:val="20"/>
                <w:lang w:eastAsia="pl-PL"/>
              </w:rPr>
              <w:t>Miejscowy plan zagospodarowania przestrzennego</w:t>
            </w:r>
          </w:p>
        </w:tc>
        <w:tc>
          <w:tcPr>
            <w:tcW w:w="5117" w:type="dxa"/>
          </w:tcPr>
          <w:p w14:paraId="058D2CEC" w14:textId="595CAFBC" w:rsidR="00EA1C22" w:rsidRPr="00EA1C22" w:rsidRDefault="00402D77" w:rsidP="00D37604">
            <w:pPr>
              <w:spacing w:beforeLines="60" w:before="144" w:afterLines="60" w:after="144" w:line="240" w:lineRule="auto"/>
              <w:jc w:val="both"/>
              <w:rPr>
                <w:rFonts w:ascii="Times New Roman" w:eastAsia="Times New Roman" w:hAnsi="Times New Roman" w:cs="Times New Roman"/>
                <w:sz w:val="20"/>
                <w:szCs w:val="20"/>
              </w:rPr>
            </w:pPr>
            <w:r w:rsidRPr="00D37604">
              <w:rPr>
                <w:rFonts w:ascii="Times New Roman" w:eastAsia="Times New Roman" w:hAnsi="Times New Roman" w:cs="Times New Roman"/>
                <w:sz w:val="18"/>
                <w:szCs w:val="18"/>
              </w:rPr>
              <w:t>Brak</w:t>
            </w:r>
          </w:p>
        </w:tc>
      </w:tr>
      <w:tr w:rsidR="00EA1C22" w:rsidRPr="00EA1C22" w14:paraId="62645726" w14:textId="77777777" w:rsidTr="00AA531E">
        <w:trPr>
          <w:trHeight w:val="317"/>
        </w:trPr>
        <w:tc>
          <w:tcPr>
            <w:tcW w:w="2405" w:type="dxa"/>
            <w:vMerge/>
            <w:shd w:val="clear" w:color="auto" w:fill="F3F3F3"/>
          </w:tcPr>
          <w:p w14:paraId="054DFA5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2126" w:type="dxa"/>
          </w:tcPr>
          <w:p w14:paraId="1B89DA9D" w14:textId="77777777" w:rsidR="00EA1C22" w:rsidRPr="00D37604" w:rsidRDefault="00EA1C22" w:rsidP="00D37604">
            <w:pPr>
              <w:spacing w:beforeLines="60" w:before="144" w:afterLines="60" w:after="144" w:line="240" w:lineRule="auto"/>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lang w:eastAsia="pl-PL"/>
              </w:rPr>
              <w:t>Miejscowy plan rewitalizacji</w:t>
            </w:r>
          </w:p>
        </w:tc>
        <w:tc>
          <w:tcPr>
            <w:tcW w:w="5117" w:type="dxa"/>
          </w:tcPr>
          <w:p w14:paraId="129467F2" w14:textId="38541FB2" w:rsidR="00EA1C22" w:rsidRPr="00D37604" w:rsidRDefault="00402D77" w:rsidP="00D37604">
            <w:pPr>
              <w:rPr>
                <w:rFonts w:ascii="Times New Roman" w:hAnsi="Times New Roman" w:cs="Times New Roman"/>
                <w:sz w:val="18"/>
                <w:szCs w:val="18"/>
              </w:rPr>
            </w:pPr>
            <w:r w:rsidRPr="00D37604">
              <w:rPr>
                <w:rFonts w:ascii="Times New Roman" w:eastAsia="Times New Roman" w:hAnsi="Times New Roman" w:cs="Times New Roman"/>
                <w:sz w:val="18"/>
                <w:szCs w:val="18"/>
              </w:rPr>
              <w:t>Brak</w:t>
            </w:r>
          </w:p>
        </w:tc>
      </w:tr>
      <w:tr w:rsidR="00EA1C22" w:rsidRPr="00EA1C22" w14:paraId="5420AD23" w14:textId="77777777" w:rsidTr="00AA531E">
        <w:trPr>
          <w:trHeight w:val="317"/>
        </w:trPr>
        <w:tc>
          <w:tcPr>
            <w:tcW w:w="2405" w:type="dxa"/>
            <w:vMerge/>
            <w:shd w:val="clear" w:color="auto" w:fill="F3F3F3"/>
          </w:tcPr>
          <w:p w14:paraId="3E703B6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2126" w:type="dxa"/>
          </w:tcPr>
          <w:p w14:paraId="72A395CA" w14:textId="77777777" w:rsidR="00EA1C22" w:rsidRPr="00D37604" w:rsidRDefault="00EA1C22" w:rsidP="00D37604">
            <w:pPr>
              <w:spacing w:beforeLines="60" w:before="144" w:afterLines="60" w:after="144" w:line="240" w:lineRule="auto"/>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lang w:eastAsia="pl-PL"/>
              </w:rPr>
              <w:t xml:space="preserve">Miejscowy plan odbudowy </w:t>
            </w:r>
          </w:p>
        </w:tc>
        <w:tc>
          <w:tcPr>
            <w:tcW w:w="5117" w:type="dxa"/>
          </w:tcPr>
          <w:p w14:paraId="08B64924" w14:textId="34BFE034" w:rsidR="00EA1C22" w:rsidRPr="00D37604" w:rsidRDefault="00D37604" w:rsidP="00EA1C22">
            <w:pPr>
              <w:spacing w:beforeLines="60" w:before="144" w:afterLines="60" w:after="144" w:line="240" w:lineRule="auto"/>
              <w:jc w:val="both"/>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rPr>
              <w:t>Brak</w:t>
            </w:r>
          </w:p>
        </w:tc>
      </w:tr>
      <w:tr w:rsidR="00EA1C22" w:rsidRPr="00EA1C22" w14:paraId="19C80E62" w14:textId="77777777" w:rsidTr="00AA531E">
        <w:trPr>
          <w:trHeight w:val="317"/>
        </w:trPr>
        <w:tc>
          <w:tcPr>
            <w:tcW w:w="2405" w:type="dxa"/>
            <w:vMerge/>
            <w:shd w:val="clear" w:color="auto" w:fill="F3F3F3"/>
          </w:tcPr>
          <w:p w14:paraId="049F075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2126" w:type="dxa"/>
          </w:tcPr>
          <w:p w14:paraId="63EA209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Inne</w:t>
            </w:r>
            <w:r w:rsidRPr="00EA1C22">
              <w:rPr>
                <w:rFonts w:ascii="Times New Roman" w:eastAsia="Times New Roman" w:hAnsi="Times New Roman" w:cs="Times New Roman"/>
                <w:sz w:val="20"/>
                <w:szCs w:val="20"/>
                <w:vertAlign w:val="superscript"/>
                <w:lang w:eastAsia="pl-PL"/>
              </w:rPr>
              <w:footnoteReference w:customMarkFollows="1" w:id="4"/>
              <w:t>4)</w:t>
            </w:r>
            <w:r w:rsidRPr="00EA1C22">
              <w:rPr>
                <w:rFonts w:ascii="Times New Roman" w:eastAsia="Times New Roman" w:hAnsi="Times New Roman" w:cs="Times New Roman"/>
                <w:sz w:val="20"/>
                <w:szCs w:val="20"/>
                <w:lang w:eastAsia="pl-PL"/>
              </w:rPr>
              <w:t xml:space="preserve"> </w:t>
            </w:r>
          </w:p>
        </w:tc>
        <w:tc>
          <w:tcPr>
            <w:tcW w:w="5117" w:type="dxa"/>
          </w:tcPr>
          <w:p w14:paraId="27F2698D" w14:textId="3657A9A6" w:rsidR="00EA1C22" w:rsidRPr="00D37604" w:rsidRDefault="00D37604" w:rsidP="00EA1C22">
            <w:pPr>
              <w:spacing w:beforeLines="60" w:before="144" w:afterLines="60" w:after="144" w:line="240" w:lineRule="auto"/>
              <w:jc w:val="both"/>
              <w:rPr>
                <w:rFonts w:ascii="Times New Roman" w:eastAsia="Times New Roman" w:hAnsi="Times New Roman" w:cs="Times New Roman"/>
                <w:sz w:val="18"/>
                <w:szCs w:val="18"/>
              </w:rPr>
            </w:pPr>
            <w:r w:rsidRPr="00D37604">
              <w:rPr>
                <w:rFonts w:ascii="Times New Roman" w:eastAsia="Times New Roman" w:hAnsi="Times New Roman" w:cs="Times New Roman"/>
                <w:sz w:val="18"/>
                <w:szCs w:val="18"/>
              </w:rPr>
              <w:t>Brak</w:t>
            </w:r>
          </w:p>
        </w:tc>
      </w:tr>
      <w:tr w:rsidR="00D37604" w:rsidRPr="00EA1C22" w14:paraId="4FC7B5E5" w14:textId="77777777" w:rsidTr="00AA531E">
        <w:trPr>
          <w:trHeight w:val="60"/>
        </w:trPr>
        <w:tc>
          <w:tcPr>
            <w:tcW w:w="2405" w:type="dxa"/>
            <w:vMerge w:val="restart"/>
            <w:shd w:val="clear" w:color="auto" w:fill="F3F3F3"/>
          </w:tcPr>
          <w:p w14:paraId="2ADC7602"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A1C22">
              <w:rPr>
                <w:rFonts w:ascii="Times New Roman" w:eastAsia="Times New Roman" w:hAnsi="Times New Roman" w:cs="Times New Roman"/>
                <w:sz w:val="20"/>
                <w:szCs w:val="20"/>
              </w:rPr>
              <w:t xml:space="preserve"> </w:t>
            </w:r>
          </w:p>
          <w:p w14:paraId="66A7EB3D"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52F86C0F"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5117" w:type="dxa"/>
          </w:tcPr>
          <w:p w14:paraId="1F5660AE" w14:textId="689931B5" w:rsidR="00D37604" w:rsidRPr="006028FC" w:rsidRDefault="00402D77" w:rsidP="006028FC">
            <w:pPr>
              <w:spacing w:beforeLines="60" w:before="144" w:afterLines="60" w:after="144" w:line="240" w:lineRule="auto"/>
              <w:jc w:val="both"/>
              <w:rPr>
                <w:rFonts w:ascii="Times New Roman" w:hAnsi="Times New Roman" w:cs="Times New Roman"/>
                <w:sz w:val="18"/>
              </w:rPr>
            </w:pPr>
            <w:r w:rsidRPr="00402D77">
              <w:rPr>
                <w:rFonts w:ascii="Times New Roman" w:hAnsi="Times New Roman" w:cs="Times New Roman"/>
                <w:sz w:val="18"/>
              </w:rPr>
              <w:t>Nie dotyczy</w:t>
            </w:r>
          </w:p>
        </w:tc>
      </w:tr>
      <w:tr w:rsidR="00D37604" w:rsidRPr="00EA1C22" w14:paraId="05EEFC4C" w14:textId="77777777" w:rsidTr="00AA531E">
        <w:trPr>
          <w:trHeight w:val="51"/>
        </w:trPr>
        <w:tc>
          <w:tcPr>
            <w:tcW w:w="2405" w:type="dxa"/>
            <w:vMerge/>
            <w:shd w:val="clear" w:color="auto" w:fill="F3F3F3"/>
          </w:tcPr>
          <w:p w14:paraId="3B9A055B"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1ECC54DE"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 minimalna intensywność zabudowy</w:t>
            </w:r>
          </w:p>
        </w:tc>
        <w:tc>
          <w:tcPr>
            <w:tcW w:w="5117" w:type="dxa"/>
          </w:tcPr>
          <w:p w14:paraId="1FE09634" w14:textId="6B21404F" w:rsidR="00D37604" w:rsidRPr="00EA1C22" w:rsidRDefault="00402D77" w:rsidP="005519C2">
            <w:pPr>
              <w:spacing w:beforeLines="60" w:before="144" w:afterLines="60" w:after="144" w:line="240" w:lineRule="auto"/>
              <w:jc w:val="both"/>
              <w:rPr>
                <w:rFonts w:ascii="Times New Roman" w:eastAsia="Times New Roman" w:hAnsi="Times New Roman" w:cs="Times New Roman"/>
                <w:sz w:val="20"/>
                <w:szCs w:val="20"/>
              </w:rPr>
            </w:pPr>
            <w:r w:rsidRPr="00402D77">
              <w:rPr>
                <w:rFonts w:ascii="Times New Roman" w:hAnsi="Times New Roman" w:cs="Times New Roman"/>
                <w:sz w:val="18"/>
              </w:rPr>
              <w:t>Nie dotyczy</w:t>
            </w:r>
          </w:p>
        </w:tc>
      </w:tr>
      <w:tr w:rsidR="00D37604" w:rsidRPr="00EA1C22" w14:paraId="24195213" w14:textId="77777777" w:rsidTr="00AA531E">
        <w:trPr>
          <w:trHeight w:val="51"/>
        </w:trPr>
        <w:tc>
          <w:tcPr>
            <w:tcW w:w="2405" w:type="dxa"/>
            <w:vMerge/>
            <w:shd w:val="clear" w:color="auto" w:fill="F3F3F3"/>
          </w:tcPr>
          <w:p w14:paraId="3C5193F3"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20A5AECA"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5117" w:type="dxa"/>
          </w:tcPr>
          <w:p w14:paraId="0F2F493D" w14:textId="0AB96016" w:rsidR="00D37604" w:rsidRPr="00EA1C22" w:rsidRDefault="00402D77" w:rsidP="00D37604">
            <w:pPr>
              <w:spacing w:beforeLines="60" w:before="144" w:afterLines="60" w:after="144" w:line="240" w:lineRule="auto"/>
              <w:jc w:val="both"/>
              <w:rPr>
                <w:rFonts w:ascii="Times New Roman" w:eastAsia="Times New Roman" w:hAnsi="Times New Roman" w:cs="Times New Roman"/>
                <w:sz w:val="20"/>
                <w:szCs w:val="20"/>
              </w:rPr>
            </w:pPr>
            <w:r w:rsidRPr="00402D77">
              <w:rPr>
                <w:rFonts w:ascii="Times New Roman" w:hAnsi="Times New Roman" w:cs="Times New Roman"/>
                <w:sz w:val="18"/>
              </w:rPr>
              <w:t>Nie dotyczy</w:t>
            </w:r>
          </w:p>
        </w:tc>
      </w:tr>
      <w:tr w:rsidR="00D37604" w:rsidRPr="00EA1C22" w14:paraId="5497E5D1" w14:textId="77777777" w:rsidTr="00AA531E">
        <w:trPr>
          <w:trHeight w:val="51"/>
        </w:trPr>
        <w:tc>
          <w:tcPr>
            <w:tcW w:w="2405" w:type="dxa"/>
            <w:vMerge/>
            <w:shd w:val="clear" w:color="auto" w:fill="F3F3F3"/>
          </w:tcPr>
          <w:p w14:paraId="7A6E5D1E"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76F74D45" w14:textId="77777777" w:rsidR="00D37604" w:rsidRPr="00402D77" w:rsidRDefault="00D37604" w:rsidP="00D37604">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 xml:space="preserve">Minimalny udział procentowy </w:t>
            </w:r>
            <w:r w:rsidRPr="00402D77">
              <w:rPr>
                <w:rFonts w:ascii="Times New Roman" w:eastAsia="Times New Roman" w:hAnsi="Times New Roman" w:cs="Times New Roman"/>
                <w:sz w:val="20"/>
                <w:szCs w:val="20"/>
                <w:lang w:eastAsia="pl-PL"/>
              </w:rPr>
              <w:lastRenderedPageBreak/>
              <w:t>powierzchni biologicznie czynnej</w:t>
            </w:r>
          </w:p>
        </w:tc>
        <w:tc>
          <w:tcPr>
            <w:tcW w:w="5117" w:type="dxa"/>
          </w:tcPr>
          <w:p w14:paraId="085C3633" w14:textId="0C627617" w:rsidR="00D37604" w:rsidRPr="00EA1C22" w:rsidRDefault="00402D77" w:rsidP="00911A8D">
            <w:pPr>
              <w:spacing w:beforeLines="60" w:before="144" w:afterLines="60" w:after="144" w:line="240" w:lineRule="auto"/>
              <w:jc w:val="both"/>
              <w:rPr>
                <w:rFonts w:ascii="Times New Roman" w:eastAsia="Times New Roman" w:hAnsi="Times New Roman" w:cs="Times New Roman"/>
                <w:sz w:val="20"/>
                <w:szCs w:val="20"/>
              </w:rPr>
            </w:pPr>
            <w:r w:rsidRPr="00402D77">
              <w:rPr>
                <w:rFonts w:ascii="Times New Roman" w:hAnsi="Times New Roman" w:cs="Times New Roman"/>
                <w:sz w:val="18"/>
              </w:rPr>
              <w:lastRenderedPageBreak/>
              <w:t>Nie dotyczy</w:t>
            </w:r>
          </w:p>
        </w:tc>
      </w:tr>
      <w:tr w:rsidR="00D37604" w:rsidRPr="00EA1C22" w14:paraId="1548D4D0" w14:textId="77777777" w:rsidTr="00AA531E">
        <w:trPr>
          <w:trHeight w:val="51"/>
        </w:trPr>
        <w:tc>
          <w:tcPr>
            <w:tcW w:w="2405" w:type="dxa"/>
            <w:vMerge/>
            <w:shd w:val="clear" w:color="auto" w:fill="F3F3F3"/>
          </w:tcPr>
          <w:p w14:paraId="625871F8"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76191846" w14:textId="77777777" w:rsidR="00D37604" w:rsidRPr="00402D77" w:rsidRDefault="00D37604" w:rsidP="00D37604">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Minimalna liczba miejsc do parkowania</w:t>
            </w:r>
          </w:p>
        </w:tc>
        <w:tc>
          <w:tcPr>
            <w:tcW w:w="5117" w:type="dxa"/>
          </w:tcPr>
          <w:p w14:paraId="3BC525D3" w14:textId="49B876C4" w:rsidR="00D37604" w:rsidRPr="00EA1C22" w:rsidRDefault="00402D77" w:rsidP="00D11337">
            <w:pPr>
              <w:spacing w:beforeLines="60" w:before="144" w:afterLines="60" w:after="144" w:line="240" w:lineRule="auto"/>
              <w:jc w:val="both"/>
              <w:rPr>
                <w:rFonts w:ascii="Times New Roman" w:eastAsia="Times New Roman" w:hAnsi="Times New Roman" w:cs="Times New Roman"/>
                <w:sz w:val="20"/>
                <w:szCs w:val="20"/>
              </w:rPr>
            </w:pPr>
            <w:r w:rsidRPr="00402D77">
              <w:rPr>
                <w:rFonts w:ascii="Times New Roman" w:hAnsi="Times New Roman" w:cs="Times New Roman"/>
                <w:sz w:val="18"/>
              </w:rPr>
              <w:t>Nie dotyczy</w:t>
            </w:r>
          </w:p>
        </w:tc>
      </w:tr>
      <w:tr w:rsidR="00D37604" w:rsidRPr="00EA1C22" w14:paraId="70246EB8" w14:textId="77777777" w:rsidTr="00AA531E">
        <w:trPr>
          <w:trHeight w:val="51"/>
        </w:trPr>
        <w:tc>
          <w:tcPr>
            <w:tcW w:w="2405" w:type="dxa"/>
            <w:vMerge/>
            <w:shd w:val="clear" w:color="auto" w:fill="F3F3F3"/>
          </w:tcPr>
          <w:p w14:paraId="2618FC24" w14:textId="77777777" w:rsidR="00D37604" w:rsidRPr="00EA1C22" w:rsidRDefault="00D37604" w:rsidP="00D73DA2">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278DBCFB" w14:textId="77777777" w:rsidR="00D37604" w:rsidRPr="00402D77" w:rsidRDefault="00D37604" w:rsidP="00D73DA2">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Warunki ochrony środowiska i zdrowia ludzi, przyrody i krajobrazu</w:t>
            </w:r>
          </w:p>
        </w:tc>
        <w:tc>
          <w:tcPr>
            <w:tcW w:w="5117" w:type="dxa"/>
          </w:tcPr>
          <w:p w14:paraId="0397C31A" w14:textId="5A352280" w:rsidR="00C24D67" w:rsidRPr="00D73DA2" w:rsidRDefault="00402D77" w:rsidP="00C24D67">
            <w:pPr>
              <w:spacing w:beforeLines="60" w:before="144" w:afterLines="60" w:after="144" w:line="240" w:lineRule="auto"/>
              <w:jc w:val="both"/>
              <w:rPr>
                <w:rFonts w:ascii="Times New Roman" w:eastAsia="Times New Roman" w:hAnsi="Times New Roman" w:cs="Times New Roman"/>
                <w:sz w:val="18"/>
                <w:szCs w:val="18"/>
              </w:rPr>
            </w:pPr>
            <w:r w:rsidRPr="00402D77">
              <w:rPr>
                <w:rFonts w:ascii="Times New Roman" w:hAnsi="Times New Roman" w:cs="Times New Roman"/>
                <w:sz w:val="18"/>
              </w:rPr>
              <w:t>Nie dotyczy</w:t>
            </w:r>
          </w:p>
        </w:tc>
      </w:tr>
      <w:tr w:rsidR="00D37604" w:rsidRPr="00EA1C22" w14:paraId="5D1B003F" w14:textId="77777777" w:rsidTr="00AA531E">
        <w:trPr>
          <w:trHeight w:val="51"/>
        </w:trPr>
        <w:tc>
          <w:tcPr>
            <w:tcW w:w="2405" w:type="dxa"/>
            <w:vMerge/>
            <w:shd w:val="clear" w:color="auto" w:fill="F3F3F3"/>
          </w:tcPr>
          <w:p w14:paraId="40B8847A"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01BF0B13" w14:textId="77777777" w:rsidR="00D37604" w:rsidRPr="00402D77" w:rsidRDefault="00D37604" w:rsidP="00D37604">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5117" w:type="dxa"/>
          </w:tcPr>
          <w:p w14:paraId="191887B6" w14:textId="25F7702A" w:rsidR="00D37604" w:rsidRPr="00167F96" w:rsidRDefault="00402D77" w:rsidP="00D37604">
            <w:pPr>
              <w:spacing w:beforeLines="60" w:before="144" w:afterLines="60" w:after="144" w:line="240" w:lineRule="auto"/>
              <w:jc w:val="both"/>
              <w:rPr>
                <w:rFonts w:ascii="Times New Roman" w:eastAsia="Times New Roman" w:hAnsi="Times New Roman" w:cs="Times New Roman"/>
                <w:sz w:val="18"/>
                <w:szCs w:val="18"/>
              </w:rPr>
            </w:pPr>
            <w:r w:rsidRPr="00402D77">
              <w:rPr>
                <w:rFonts w:ascii="Times New Roman" w:hAnsi="Times New Roman" w:cs="Times New Roman"/>
                <w:sz w:val="18"/>
              </w:rPr>
              <w:t>Nie dotyczy</w:t>
            </w:r>
          </w:p>
        </w:tc>
      </w:tr>
      <w:tr w:rsidR="00D37604" w:rsidRPr="00EA1C22" w14:paraId="15555962" w14:textId="77777777" w:rsidTr="00AA531E">
        <w:trPr>
          <w:trHeight w:val="51"/>
        </w:trPr>
        <w:tc>
          <w:tcPr>
            <w:tcW w:w="2405" w:type="dxa"/>
            <w:vMerge/>
            <w:shd w:val="clear" w:color="auto" w:fill="F3F3F3"/>
          </w:tcPr>
          <w:p w14:paraId="6FE56B64"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4F55DADB" w14:textId="77777777" w:rsidR="00D37604" w:rsidRPr="00402D77" w:rsidRDefault="00D37604" w:rsidP="00D37604">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Warunki ochrony dziedzictwa kulturowego i zabytków oraz dóbr kultury współczesnej</w:t>
            </w:r>
          </w:p>
        </w:tc>
        <w:tc>
          <w:tcPr>
            <w:tcW w:w="5117" w:type="dxa"/>
          </w:tcPr>
          <w:p w14:paraId="2BB9E365" w14:textId="50A3097E" w:rsidR="00D37604" w:rsidRPr="00167F96" w:rsidRDefault="00402D77" w:rsidP="00167F96">
            <w:pPr>
              <w:spacing w:beforeLines="60" w:before="144" w:afterLines="60" w:after="144" w:line="240" w:lineRule="auto"/>
              <w:jc w:val="both"/>
              <w:rPr>
                <w:rFonts w:ascii="Times New Roman" w:eastAsia="Times New Roman" w:hAnsi="Times New Roman" w:cs="Times New Roman"/>
                <w:sz w:val="18"/>
                <w:szCs w:val="18"/>
              </w:rPr>
            </w:pPr>
            <w:r w:rsidRPr="00402D77">
              <w:rPr>
                <w:rFonts w:ascii="Times New Roman" w:hAnsi="Times New Roman" w:cs="Times New Roman"/>
                <w:sz w:val="18"/>
              </w:rPr>
              <w:t>Nie dotyczy</w:t>
            </w:r>
          </w:p>
        </w:tc>
      </w:tr>
      <w:tr w:rsidR="00D37604" w:rsidRPr="00EA1C22" w14:paraId="584DBCF3" w14:textId="77777777" w:rsidTr="00AA531E">
        <w:trPr>
          <w:trHeight w:val="51"/>
        </w:trPr>
        <w:tc>
          <w:tcPr>
            <w:tcW w:w="2405" w:type="dxa"/>
            <w:vMerge/>
            <w:shd w:val="clear" w:color="auto" w:fill="F3F3F3"/>
          </w:tcPr>
          <w:p w14:paraId="0652C737"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30B14ED1" w14:textId="77777777" w:rsidR="00D37604" w:rsidRPr="00402D77" w:rsidRDefault="00D37604" w:rsidP="00167F96">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5117" w:type="dxa"/>
          </w:tcPr>
          <w:p w14:paraId="1D29667E" w14:textId="11BAE5B3" w:rsidR="00D37604" w:rsidRPr="00167F96" w:rsidRDefault="00402D77" w:rsidP="00D37604">
            <w:pPr>
              <w:spacing w:beforeLines="60" w:before="144" w:afterLines="60" w:after="144" w:line="240" w:lineRule="auto"/>
              <w:jc w:val="both"/>
              <w:rPr>
                <w:rFonts w:ascii="Times New Roman" w:eastAsia="Times New Roman" w:hAnsi="Times New Roman" w:cs="Times New Roman"/>
                <w:sz w:val="18"/>
                <w:szCs w:val="18"/>
              </w:rPr>
            </w:pPr>
            <w:r w:rsidRPr="00402D77">
              <w:rPr>
                <w:rFonts w:ascii="Times New Roman" w:hAnsi="Times New Roman" w:cs="Times New Roman"/>
                <w:sz w:val="18"/>
              </w:rPr>
              <w:t>Nie dotyczy</w:t>
            </w:r>
          </w:p>
        </w:tc>
      </w:tr>
      <w:tr w:rsidR="00D37604" w:rsidRPr="00EA1C22" w14:paraId="5DE5E583" w14:textId="77777777" w:rsidTr="00AA531E">
        <w:trPr>
          <w:trHeight w:val="51"/>
        </w:trPr>
        <w:tc>
          <w:tcPr>
            <w:tcW w:w="2405" w:type="dxa"/>
            <w:vMerge/>
            <w:shd w:val="clear" w:color="auto" w:fill="F3F3F3"/>
          </w:tcPr>
          <w:p w14:paraId="39569390"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4967DA9F" w14:textId="77777777" w:rsidR="00D37604" w:rsidRPr="00402D77" w:rsidRDefault="00D37604" w:rsidP="00167F96">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Warunki i szczegółowe zasady obsługi w zakresie komunikacji</w:t>
            </w:r>
          </w:p>
        </w:tc>
        <w:tc>
          <w:tcPr>
            <w:tcW w:w="5117" w:type="dxa"/>
          </w:tcPr>
          <w:p w14:paraId="303AE166" w14:textId="1950F47A" w:rsidR="00D37604" w:rsidRPr="00167F96" w:rsidRDefault="00402D77" w:rsidP="00275D71">
            <w:pPr>
              <w:spacing w:beforeLines="60" w:before="144" w:afterLines="60" w:after="144" w:line="240" w:lineRule="auto"/>
              <w:jc w:val="both"/>
              <w:rPr>
                <w:rFonts w:ascii="Times New Roman" w:eastAsia="Times New Roman" w:hAnsi="Times New Roman" w:cs="Times New Roman"/>
                <w:sz w:val="18"/>
                <w:szCs w:val="18"/>
              </w:rPr>
            </w:pPr>
            <w:r w:rsidRPr="00402D77">
              <w:rPr>
                <w:rFonts w:ascii="Times New Roman" w:hAnsi="Times New Roman" w:cs="Times New Roman"/>
                <w:sz w:val="18"/>
              </w:rPr>
              <w:t>Nie dotyczy</w:t>
            </w:r>
          </w:p>
        </w:tc>
      </w:tr>
      <w:tr w:rsidR="00D37604" w:rsidRPr="00EA1C22" w14:paraId="1E545455" w14:textId="77777777" w:rsidTr="00AA531E">
        <w:trPr>
          <w:trHeight w:val="51"/>
        </w:trPr>
        <w:tc>
          <w:tcPr>
            <w:tcW w:w="2405" w:type="dxa"/>
            <w:vMerge/>
            <w:shd w:val="clear" w:color="auto" w:fill="F3F3F3"/>
          </w:tcPr>
          <w:p w14:paraId="57A2BC2A"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19196E7A" w14:textId="77777777" w:rsidR="00D37604" w:rsidRPr="00402D77" w:rsidRDefault="00D37604" w:rsidP="00167F96">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Warunki i szczegółowe zasady obsługi w zakresie infrastruktury technicznej</w:t>
            </w:r>
          </w:p>
        </w:tc>
        <w:tc>
          <w:tcPr>
            <w:tcW w:w="5117" w:type="dxa"/>
          </w:tcPr>
          <w:p w14:paraId="7FB00247" w14:textId="402E3D99" w:rsidR="0034028F" w:rsidRPr="00167F96" w:rsidRDefault="00402D77" w:rsidP="0034028F">
            <w:pPr>
              <w:spacing w:beforeLines="60" w:before="144" w:afterLines="60" w:after="144" w:line="240" w:lineRule="auto"/>
              <w:jc w:val="both"/>
              <w:rPr>
                <w:rFonts w:ascii="Times New Roman" w:eastAsia="Times New Roman" w:hAnsi="Times New Roman" w:cs="Times New Roman"/>
                <w:sz w:val="18"/>
                <w:szCs w:val="18"/>
              </w:rPr>
            </w:pPr>
            <w:r w:rsidRPr="00402D77">
              <w:rPr>
                <w:rFonts w:ascii="Times New Roman" w:hAnsi="Times New Roman" w:cs="Times New Roman"/>
                <w:sz w:val="18"/>
              </w:rPr>
              <w:t>Nie dotyczy</w:t>
            </w:r>
          </w:p>
        </w:tc>
      </w:tr>
      <w:tr w:rsidR="00D37604" w:rsidRPr="00EA1C22" w14:paraId="1A8D15D6" w14:textId="77777777" w:rsidTr="00AA531E">
        <w:trPr>
          <w:trHeight w:val="288"/>
        </w:trPr>
        <w:tc>
          <w:tcPr>
            <w:tcW w:w="2405" w:type="dxa"/>
            <w:vMerge w:val="restart"/>
            <w:shd w:val="clear" w:color="auto" w:fill="F3F3F3"/>
          </w:tcPr>
          <w:p w14:paraId="24340225"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p w14:paraId="7A4300EE"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w:t>
            </w:r>
            <w:r>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 xml:space="preserve">dla działek lub ich fragmentów, znajdujących się w odległości do 100 m od granicy terenu objętego przedsięwzięciem </w:t>
            </w:r>
            <w:r w:rsidRPr="00EA1C22">
              <w:rPr>
                <w:rFonts w:ascii="Times New Roman" w:eastAsia="Times New Roman" w:hAnsi="Times New Roman" w:cs="Times New Roman"/>
                <w:sz w:val="20"/>
                <w:szCs w:val="20"/>
                <w:lang w:eastAsia="pl-PL"/>
              </w:rPr>
              <w:lastRenderedPageBreak/>
              <w:t>deweloperskim lub zadaniem inwestycyjnym</w:t>
            </w:r>
            <w:r w:rsidRPr="00EA1C22">
              <w:rPr>
                <w:rFonts w:ascii="Times New Roman" w:eastAsia="Times New Roman" w:hAnsi="Times New Roman" w:cs="Times New Roman"/>
                <w:sz w:val="20"/>
                <w:szCs w:val="20"/>
                <w:vertAlign w:val="superscript"/>
                <w:lang w:eastAsia="pl-PL"/>
              </w:rPr>
              <w:footnoteReference w:customMarkFollows="1" w:id="5"/>
              <w:t>*</w:t>
            </w:r>
          </w:p>
        </w:tc>
        <w:tc>
          <w:tcPr>
            <w:tcW w:w="2126" w:type="dxa"/>
          </w:tcPr>
          <w:p w14:paraId="7787B334" w14:textId="77777777" w:rsidR="00D37604" w:rsidRPr="00402D77" w:rsidRDefault="00D37604" w:rsidP="00167F96">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lastRenderedPageBreak/>
              <w:t>Przeznaczenie terenu</w:t>
            </w:r>
          </w:p>
        </w:tc>
        <w:tc>
          <w:tcPr>
            <w:tcW w:w="5117" w:type="dxa"/>
          </w:tcPr>
          <w:p w14:paraId="2BF2BEC3" w14:textId="647007FE" w:rsidR="00A42D92" w:rsidRPr="00402D77" w:rsidRDefault="00402D77" w:rsidP="00D37604">
            <w:pPr>
              <w:spacing w:beforeLines="60" w:before="144" w:afterLines="60" w:after="144" w:line="240" w:lineRule="auto"/>
              <w:jc w:val="both"/>
              <w:rPr>
                <w:rFonts w:ascii="Times New Roman" w:eastAsia="Times New Roman" w:hAnsi="Times New Roman" w:cs="Times New Roman"/>
                <w:color w:val="EE0000"/>
                <w:sz w:val="18"/>
                <w:szCs w:val="18"/>
              </w:rPr>
            </w:pPr>
            <w:r w:rsidRPr="00402D77">
              <w:rPr>
                <w:rFonts w:ascii="Times New Roman" w:hAnsi="Times New Roman" w:cs="Times New Roman"/>
                <w:sz w:val="18"/>
              </w:rPr>
              <w:t>Nie dotyczy</w:t>
            </w:r>
          </w:p>
        </w:tc>
      </w:tr>
      <w:tr w:rsidR="00D37604" w:rsidRPr="00EA1C22" w14:paraId="53537EBB" w14:textId="77777777" w:rsidTr="00AA531E">
        <w:trPr>
          <w:trHeight w:val="288"/>
        </w:trPr>
        <w:tc>
          <w:tcPr>
            <w:tcW w:w="2405" w:type="dxa"/>
            <w:vMerge/>
            <w:shd w:val="clear" w:color="auto" w:fill="F3F3F3"/>
          </w:tcPr>
          <w:p w14:paraId="318B61CC"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4B33ABA5" w14:textId="77777777" w:rsidR="00D37604" w:rsidRPr="00402D77" w:rsidRDefault="00D37604" w:rsidP="00167F96">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Maksymalna i minimalna intensywność zabudowy</w:t>
            </w:r>
          </w:p>
        </w:tc>
        <w:tc>
          <w:tcPr>
            <w:tcW w:w="5117" w:type="dxa"/>
          </w:tcPr>
          <w:p w14:paraId="184CBF4C" w14:textId="5A159589" w:rsidR="00D37604" w:rsidRPr="00402D77" w:rsidRDefault="00402D77" w:rsidP="00DC17D7">
            <w:pPr>
              <w:spacing w:beforeLines="60" w:before="144" w:afterLines="60" w:after="144" w:line="240" w:lineRule="auto"/>
              <w:jc w:val="both"/>
              <w:rPr>
                <w:rFonts w:ascii="Times New Roman" w:eastAsia="Times New Roman" w:hAnsi="Times New Roman" w:cs="Times New Roman"/>
                <w:color w:val="EE0000"/>
                <w:sz w:val="18"/>
                <w:szCs w:val="18"/>
              </w:rPr>
            </w:pPr>
            <w:r w:rsidRPr="00402D77">
              <w:rPr>
                <w:rFonts w:ascii="Times New Roman" w:hAnsi="Times New Roman" w:cs="Times New Roman"/>
                <w:sz w:val="18"/>
              </w:rPr>
              <w:t>Nie dotyczy</w:t>
            </w:r>
          </w:p>
        </w:tc>
      </w:tr>
      <w:tr w:rsidR="00D37604" w:rsidRPr="00EA1C22" w14:paraId="364DFD8A" w14:textId="77777777" w:rsidTr="00AA531E">
        <w:trPr>
          <w:trHeight w:val="288"/>
        </w:trPr>
        <w:tc>
          <w:tcPr>
            <w:tcW w:w="2405" w:type="dxa"/>
            <w:vMerge/>
            <w:shd w:val="clear" w:color="auto" w:fill="F3F3F3"/>
          </w:tcPr>
          <w:p w14:paraId="4531A7A5"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1CF94B5F" w14:textId="77777777" w:rsidR="00D37604" w:rsidRPr="00402D77"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Maksymalna wysokość zabudowy</w:t>
            </w:r>
          </w:p>
        </w:tc>
        <w:tc>
          <w:tcPr>
            <w:tcW w:w="5117" w:type="dxa"/>
          </w:tcPr>
          <w:p w14:paraId="22CD3A9A" w14:textId="41F63151" w:rsidR="00D37604" w:rsidRPr="00402D77" w:rsidRDefault="00402D77" w:rsidP="00D37604">
            <w:pPr>
              <w:spacing w:beforeLines="60" w:before="144" w:afterLines="60" w:after="144" w:line="240" w:lineRule="auto"/>
              <w:jc w:val="both"/>
              <w:rPr>
                <w:rFonts w:ascii="Times New Roman" w:eastAsia="Times New Roman" w:hAnsi="Times New Roman" w:cs="Times New Roman"/>
                <w:color w:val="EE0000"/>
                <w:sz w:val="18"/>
                <w:szCs w:val="18"/>
              </w:rPr>
            </w:pPr>
            <w:r w:rsidRPr="00402D77">
              <w:rPr>
                <w:rFonts w:ascii="Times New Roman" w:hAnsi="Times New Roman" w:cs="Times New Roman"/>
                <w:sz w:val="18"/>
              </w:rPr>
              <w:t>Nie dotyczy</w:t>
            </w:r>
          </w:p>
        </w:tc>
      </w:tr>
      <w:tr w:rsidR="00D37604" w:rsidRPr="00EA1C22" w14:paraId="46B2C3BA" w14:textId="77777777" w:rsidTr="00AA531E">
        <w:trPr>
          <w:trHeight w:val="288"/>
        </w:trPr>
        <w:tc>
          <w:tcPr>
            <w:tcW w:w="2405" w:type="dxa"/>
            <w:vMerge/>
            <w:shd w:val="clear" w:color="auto" w:fill="F3F3F3"/>
          </w:tcPr>
          <w:p w14:paraId="69045792"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66A05DF8" w14:textId="77777777" w:rsidR="00D37604" w:rsidRPr="00402D77" w:rsidRDefault="00D37604" w:rsidP="00DC17D7">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Minimalny udział procentowy powierzchni biologicznie czynnej</w:t>
            </w:r>
          </w:p>
        </w:tc>
        <w:tc>
          <w:tcPr>
            <w:tcW w:w="5117" w:type="dxa"/>
          </w:tcPr>
          <w:p w14:paraId="3141DC72" w14:textId="4CA20EDF" w:rsidR="00D37604" w:rsidRPr="00402D77" w:rsidRDefault="00402D77" w:rsidP="00DC17D7">
            <w:pPr>
              <w:spacing w:beforeLines="60" w:before="144" w:afterLines="60" w:after="144" w:line="240" w:lineRule="auto"/>
              <w:jc w:val="both"/>
              <w:rPr>
                <w:rFonts w:ascii="Times New Roman" w:eastAsia="Times New Roman" w:hAnsi="Times New Roman" w:cs="Times New Roman"/>
                <w:color w:val="EE0000"/>
                <w:sz w:val="18"/>
                <w:szCs w:val="18"/>
              </w:rPr>
            </w:pPr>
            <w:r w:rsidRPr="00402D77">
              <w:rPr>
                <w:rFonts w:ascii="Times New Roman" w:hAnsi="Times New Roman" w:cs="Times New Roman"/>
                <w:sz w:val="18"/>
              </w:rPr>
              <w:t>Nie dotyczy</w:t>
            </w:r>
          </w:p>
        </w:tc>
      </w:tr>
      <w:tr w:rsidR="00D37604" w:rsidRPr="00EA1C22" w14:paraId="4DE84C0D" w14:textId="77777777" w:rsidTr="00AA531E">
        <w:trPr>
          <w:trHeight w:val="288"/>
        </w:trPr>
        <w:tc>
          <w:tcPr>
            <w:tcW w:w="2405" w:type="dxa"/>
            <w:vMerge/>
            <w:shd w:val="clear" w:color="auto" w:fill="F3F3F3"/>
          </w:tcPr>
          <w:p w14:paraId="530B86E5"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7C42CE3D" w14:textId="77777777" w:rsidR="00D37604" w:rsidRPr="00402D77" w:rsidRDefault="00D37604" w:rsidP="00DC17D7">
            <w:pPr>
              <w:spacing w:beforeLines="60" w:before="144" w:afterLines="60" w:after="144" w:line="240" w:lineRule="auto"/>
              <w:rPr>
                <w:rFonts w:ascii="Times New Roman" w:eastAsia="Times New Roman" w:hAnsi="Times New Roman" w:cs="Times New Roman"/>
                <w:sz w:val="20"/>
                <w:szCs w:val="20"/>
              </w:rPr>
            </w:pPr>
            <w:r w:rsidRPr="00402D77">
              <w:rPr>
                <w:rFonts w:ascii="Times New Roman" w:eastAsia="Times New Roman" w:hAnsi="Times New Roman" w:cs="Times New Roman"/>
                <w:sz w:val="20"/>
                <w:szCs w:val="20"/>
                <w:lang w:eastAsia="pl-PL"/>
              </w:rPr>
              <w:t>Minimalna liczba miejsc do parkowania</w:t>
            </w:r>
          </w:p>
        </w:tc>
        <w:tc>
          <w:tcPr>
            <w:tcW w:w="5117" w:type="dxa"/>
          </w:tcPr>
          <w:p w14:paraId="29EEEC34" w14:textId="1CE33522" w:rsidR="00D37604" w:rsidRPr="00402D77" w:rsidRDefault="00402D77" w:rsidP="00D37604">
            <w:pPr>
              <w:spacing w:beforeLines="60" w:before="144" w:afterLines="60" w:after="144" w:line="240" w:lineRule="auto"/>
              <w:jc w:val="both"/>
              <w:rPr>
                <w:rFonts w:ascii="Times New Roman" w:eastAsia="Times New Roman" w:hAnsi="Times New Roman" w:cs="Times New Roman"/>
                <w:color w:val="EE0000"/>
                <w:sz w:val="18"/>
                <w:szCs w:val="18"/>
              </w:rPr>
            </w:pPr>
            <w:r w:rsidRPr="00402D77">
              <w:rPr>
                <w:rFonts w:ascii="Times New Roman" w:hAnsi="Times New Roman" w:cs="Times New Roman"/>
                <w:sz w:val="18"/>
              </w:rPr>
              <w:t>Nie dotyczy</w:t>
            </w:r>
          </w:p>
        </w:tc>
      </w:tr>
      <w:tr w:rsidR="00D37604" w:rsidRPr="00EA1C22" w14:paraId="3D7082D8" w14:textId="77777777" w:rsidTr="00AA531E">
        <w:trPr>
          <w:trHeight w:val="969"/>
        </w:trPr>
        <w:tc>
          <w:tcPr>
            <w:tcW w:w="2405" w:type="dxa"/>
            <w:vMerge w:val="restart"/>
            <w:shd w:val="clear" w:color="auto" w:fill="F3F3F3"/>
          </w:tcPr>
          <w:p w14:paraId="63BA5B4C"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7F4D64DF"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p w14:paraId="5723BF4A"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28E43FE1"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Funkcja zabudowy i zagospodarowania terenu</w:t>
            </w:r>
          </w:p>
        </w:tc>
        <w:tc>
          <w:tcPr>
            <w:tcW w:w="5117" w:type="dxa"/>
          </w:tcPr>
          <w:p w14:paraId="461CD8AD" w14:textId="032FB012" w:rsidR="00EC37AB" w:rsidRDefault="00EC37AB"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hAnsi="Times New Roman" w:cs="Times New Roman"/>
                <w:sz w:val="18"/>
              </w:rPr>
              <w:t>Zabudowa mieszkaniowa jednorodzinna i zabudowa usługowa.</w:t>
            </w:r>
          </w:p>
          <w:p w14:paraId="04216EB1" w14:textId="77777777" w:rsidR="00D47BA8" w:rsidRDefault="00D47BA8" w:rsidP="00D37604">
            <w:pPr>
              <w:spacing w:beforeLines="60" w:before="144" w:afterLines="60" w:after="144" w:line="240" w:lineRule="auto"/>
              <w:jc w:val="both"/>
              <w:rPr>
                <w:rFonts w:ascii="Times New Roman" w:eastAsia="Times New Roman" w:hAnsi="Times New Roman" w:cs="Times New Roman"/>
                <w:sz w:val="18"/>
                <w:szCs w:val="18"/>
              </w:rPr>
            </w:pPr>
          </w:p>
          <w:p w14:paraId="605524C5" w14:textId="3670C2DA" w:rsidR="00D47BA8" w:rsidRPr="00167F96" w:rsidRDefault="00D47BA8" w:rsidP="00D37604">
            <w:pPr>
              <w:spacing w:beforeLines="60" w:before="144" w:afterLines="60" w:after="144" w:line="240" w:lineRule="auto"/>
              <w:jc w:val="both"/>
              <w:rPr>
                <w:rFonts w:ascii="Times New Roman" w:eastAsia="Times New Roman" w:hAnsi="Times New Roman" w:cs="Times New Roman"/>
                <w:sz w:val="18"/>
                <w:szCs w:val="18"/>
              </w:rPr>
            </w:pPr>
          </w:p>
        </w:tc>
      </w:tr>
      <w:tr w:rsidR="00D37604" w:rsidRPr="00EA1C22" w14:paraId="71BE8FAC" w14:textId="77777777" w:rsidTr="00AA531E">
        <w:trPr>
          <w:trHeight w:val="181"/>
        </w:trPr>
        <w:tc>
          <w:tcPr>
            <w:tcW w:w="2405" w:type="dxa"/>
            <w:vMerge/>
            <w:shd w:val="clear" w:color="auto" w:fill="F3F3F3"/>
          </w:tcPr>
          <w:p w14:paraId="20585F47"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243" w:type="dxa"/>
            <w:gridSpan w:val="2"/>
          </w:tcPr>
          <w:p w14:paraId="794BF337"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Cechy zabudowy i zagospodarowania terenu:</w:t>
            </w:r>
          </w:p>
        </w:tc>
      </w:tr>
      <w:tr w:rsidR="00D37604" w:rsidRPr="00EA1C22" w14:paraId="5B5D74D2" w14:textId="77777777" w:rsidTr="00AA531E">
        <w:trPr>
          <w:trHeight w:val="181"/>
        </w:trPr>
        <w:tc>
          <w:tcPr>
            <w:tcW w:w="2405" w:type="dxa"/>
            <w:vMerge/>
            <w:shd w:val="clear" w:color="auto" w:fill="F3F3F3"/>
          </w:tcPr>
          <w:p w14:paraId="369A9BB7"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64549A6A"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gabaryty</w:t>
            </w:r>
          </w:p>
        </w:tc>
        <w:tc>
          <w:tcPr>
            <w:tcW w:w="5117" w:type="dxa"/>
          </w:tcPr>
          <w:p w14:paraId="65A5FAC4" w14:textId="20FDC7CC" w:rsidR="00EC37AB" w:rsidRPr="00885501" w:rsidRDefault="00EC37AB" w:rsidP="00EC37AB">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Szerokość elewacji frontowej (od strony ul. Leszczynowej): 11,5 m ( z tolerancją +/-20%)</w:t>
            </w:r>
          </w:p>
          <w:p w14:paraId="2B922438" w14:textId="1A7959EF" w:rsidR="00EC37AB" w:rsidRPr="00885501" w:rsidRDefault="00EC37AB" w:rsidP="00EC37AB">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Wysokość budynku – do 9,5 m</w:t>
            </w:r>
          </w:p>
          <w:p w14:paraId="5A0F2550" w14:textId="77777777" w:rsidR="00D37604" w:rsidRPr="00885501" w:rsidRDefault="00EC37AB" w:rsidP="00EC37AB">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Wysokość elewacji frontowej, od 3 m do 6,2 m</w:t>
            </w:r>
          </w:p>
          <w:p w14:paraId="316818F6" w14:textId="77777777" w:rsidR="00EC37AB" w:rsidRPr="00885501" w:rsidRDefault="00EC37AB" w:rsidP="00EC37AB">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Maksymalna ilość kondygnacji – dwie naziemne</w:t>
            </w:r>
          </w:p>
          <w:p w14:paraId="1CB4B3AB" w14:textId="5DD33653" w:rsidR="001460FC" w:rsidRPr="00885501" w:rsidRDefault="001460FC" w:rsidP="00EC37AB">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Maksymalna ilość lokali mieszkalnych w budynku – 1</w:t>
            </w:r>
          </w:p>
        </w:tc>
      </w:tr>
      <w:tr w:rsidR="00D37604" w:rsidRPr="00EA1C22" w14:paraId="4E8547C2" w14:textId="77777777" w:rsidTr="00AA531E">
        <w:trPr>
          <w:trHeight w:val="181"/>
        </w:trPr>
        <w:tc>
          <w:tcPr>
            <w:tcW w:w="2405" w:type="dxa"/>
            <w:vMerge/>
            <w:shd w:val="clear" w:color="auto" w:fill="F3F3F3"/>
          </w:tcPr>
          <w:p w14:paraId="2B5783FE"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576F69BC"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forma architektoniczna</w:t>
            </w:r>
          </w:p>
        </w:tc>
        <w:tc>
          <w:tcPr>
            <w:tcW w:w="5117" w:type="dxa"/>
          </w:tcPr>
          <w:p w14:paraId="68382F8E" w14:textId="29A59810" w:rsidR="00D37604" w:rsidRPr="00885501" w:rsidRDefault="00885501" w:rsidP="00D37604">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Geometria dach – dach dwuspadowy lub wielospadowy o kącie nachylenia podstawowych połaci dachowych od 22° do 45°</w:t>
            </w:r>
          </w:p>
        </w:tc>
      </w:tr>
      <w:tr w:rsidR="00D37604" w:rsidRPr="00EA1C22" w14:paraId="7D6503E2" w14:textId="77777777" w:rsidTr="00AA531E">
        <w:trPr>
          <w:trHeight w:val="181"/>
        </w:trPr>
        <w:tc>
          <w:tcPr>
            <w:tcW w:w="2405" w:type="dxa"/>
            <w:vMerge/>
            <w:shd w:val="clear" w:color="auto" w:fill="F3F3F3"/>
          </w:tcPr>
          <w:p w14:paraId="6A1EA9E7"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3568E73F"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usytuowanie linii zabudowy</w:t>
            </w:r>
          </w:p>
        </w:tc>
        <w:tc>
          <w:tcPr>
            <w:tcW w:w="5117" w:type="dxa"/>
          </w:tcPr>
          <w:p w14:paraId="2CF231D2" w14:textId="77777777" w:rsidR="00D37604" w:rsidRPr="00885501" w:rsidRDefault="00885501" w:rsidP="00D37604">
            <w:pPr>
              <w:spacing w:beforeLines="60" w:before="144" w:afterLines="60" w:after="144" w:line="240" w:lineRule="auto"/>
              <w:jc w:val="both"/>
              <w:rPr>
                <w:rFonts w:ascii="Times New Roman" w:eastAsia="Times New Roman" w:hAnsi="Times New Roman" w:cs="Times New Roman"/>
                <w:sz w:val="18"/>
                <w:szCs w:val="18"/>
              </w:rPr>
            </w:pPr>
            <w:r w:rsidRPr="00885501">
              <w:rPr>
                <w:rFonts w:ascii="Times New Roman" w:eastAsia="Times New Roman" w:hAnsi="Times New Roman" w:cs="Times New Roman"/>
                <w:sz w:val="18"/>
                <w:szCs w:val="18"/>
              </w:rPr>
              <w:t>Linia zabudowy w odległości 8,0 m od linii rozgraniczającej drogi gminnej ul. Leszczynowa (dz. 145/3).</w:t>
            </w:r>
          </w:p>
          <w:p w14:paraId="147C3E0C" w14:textId="52F7EC95" w:rsidR="00885501" w:rsidRPr="00EA1C22" w:rsidRDefault="00885501" w:rsidP="00D37604">
            <w:pPr>
              <w:spacing w:beforeLines="60" w:before="144" w:afterLines="60" w:after="144" w:line="240" w:lineRule="auto"/>
              <w:jc w:val="both"/>
              <w:rPr>
                <w:rFonts w:ascii="Times New Roman" w:eastAsia="Times New Roman" w:hAnsi="Times New Roman" w:cs="Times New Roman"/>
                <w:sz w:val="20"/>
                <w:szCs w:val="20"/>
              </w:rPr>
            </w:pPr>
            <w:r w:rsidRPr="00885501">
              <w:rPr>
                <w:rFonts w:ascii="Times New Roman" w:eastAsia="Times New Roman" w:hAnsi="Times New Roman" w:cs="Times New Roman"/>
                <w:sz w:val="18"/>
                <w:szCs w:val="18"/>
              </w:rPr>
              <w:t>Ustalona linia zabudowy nie narusza wymogów określonych w art.. 43 ustawy z dnia 21.03.1985 r o drogach publicznych (Dz.U. z 2023 r. poz. 645)</w:t>
            </w:r>
          </w:p>
        </w:tc>
      </w:tr>
      <w:tr w:rsidR="00D37604" w:rsidRPr="00EA1C22" w14:paraId="2E914CD1" w14:textId="77777777" w:rsidTr="00AA531E">
        <w:trPr>
          <w:trHeight w:val="181"/>
        </w:trPr>
        <w:tc>
          <w:tcPr>
            <w:tcW w:w="2405" w:type="dxa"/>
            <w:vMerge/>
            <w:shd w:val="clear" w:color="auto" w:fill="F3F3F3"/>
          </w:tcPr>
          <w:p w14:paraId="2752F7C7"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34F85EBE"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intensywność wykorzystania terenu</w:t>
            </w:r>
          </w:p>
        </w:tc>
        <w:tc>
          <w:tcPr>
            <w:tcW w:w="5117" w:type="dxa"/>
          </w:tcPr>
          <w:p w14:paraId="37576382" w14:textId="264ECF46" w:rsidR="00D37604" w:rsidRPr="00C0341A" w:rsidRDefault="00C0341A" w:rsidP="00D37604">
            <w:pPr>
              <w:spacing w:beforeLines="60" w:before="144" w:afterLines="60" w:after="144" w:line="240" w:lineRule="auto"/>
              <w:jc w:val="both"/>
              <w:rPr>
                <w:rFonts w:ascii="Times New Roman" w:eastAsia="Times New Roman" w:hAnsi="Times New Roman" w:cs="Times New Roman"/>
                <w:sz w:val="18"/>
                <w:szCs w:val="18"/>
              </w:rPr>
            </w:pPr>
            <w:r w:rsidRPr="00C0341A">
              <w:rPr>
                <w:rFonts w:ascii="Times New Roman" w:eastAsia="Times New Roman" w:hAnsi="Times New Roman" w:cs="Times New Roman"/>
                <w:sz w:val="18"/>
                <w:szCs w:val="18"/>
              </w:rPr>
              <w:t>Wielkość pow. zabudowy – do 25%.</w:t>
            </w:r>
          </w:p>
        </w:tc>
      </w:tr>
      <w:tr w:rsidR="00D37604" w:rsidRPr="00EA1C22" w14:paraId="7F76A943" w14:textId="77777777" w:rsidTr="00AA531E">
        <w:trPr>
          <w:trHeight w:val="181"/>
        </w:trPr>
        <w:tc>
          <w:tcPr>
            <w:tcW w:w="2405" w:type="dxa"/>
            <w:vMerge/>
            <w:shd w:val="clear" w:color="auto" w:fill="F3F3F3"/>
          </w:tcPr>
          <w:p w14:paraId="173CB88F"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0F80F622"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5117" w:type="dxa"/>
          </w:tcPr>
          <w:p w14:paraId="5A3FD732" w14:textId="77777777" w:rsidR="00D37604" w:rsidRDefault="00C0341A" w:rsidP="00D37604">
            <w:pPr>
              <w:spacing w:beforeLines="60" w:before="144" w:afterLines="60" w:after="144" w:line="240" w:lineRule="auto"/>
              <w:jc w:val="both"/>
              <w:rPr>
                <w:rFonts w:ascii="Times New Roman" w:eastAsia="Times New Roman" w:hAnsi="Times New Roman" w:cs="Times New Roman"/>
                <w:sz w:val="18"/>
                <w:szCs w:val="18"/>
              </w:rPr>
            </w:pPr>
            <w:r w:rsidRPr="00C0341A">
              <w:rPr>
                <w:rFonts w:ascii="Times New Roman" w:eastAsia="Times New Roman" w:hAnsi="Times New Roman" w:cs="Times New Roman"/>
                <w:sz w:val="18"/>
                <w:szCs w:val="18"/>
              </w:rPr>
              <w:t>Wielkość powierzchni biologicznie czynnej -  nie mniej niż 40%</w:t>
            </w:r>
          </w:p>
          <w:p w14:paraId="447F54AE" w14:textId="77777777" w:rsidR="00C0341A" w:rsidRDefault="00C0341A"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Sposób zagospodarowania i użytkowania terenu nie może wywoływać negatywnego wpływu na środowisko, w szczególności w postaci emisji hałasu, pól elektromagnetycznych i zanieczyszczeń wody bądź ziemi.</w:t>
            </w:r>
          </w:p>
          <w:p w14:paraId="616F21F5" w14:textId="6E911B2B" w:rsidR="00C0341A" w:rsidRPr="00C0341A" w:rsidRDefault="00C0341A"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Projektowana inwestycja leży poza obszarami objętymi ochroną </w:t>
            </w:r>
            <w:proofErr w:type="spellStart"/>
            <w:r>
              <w:rPr>
                <w:rFonts w:ascii="Times New Roman" w:eastAsia="Times New Roman" w:hAnsi="Times New Roman" w:cs="Times New Roman"/>
                <w:sz w:val="18"/>
                <w:szCs w:val="18"/>
              </w:rPr>
              <w:t>tj</w:t>
            </w:r>
            <w:proofErr w:type="spellEnd"/>
            <w:r>
              <w:rPr>
                <w:rFonts w:ascii="Times New Roman" w:eastAsia="Times New Roman" w:hAnsi="Times New Roman" w:cs="Times New Roman"/>
                <w:sz w:val="18"/>
                <w:szCs w:val="18"/>
              </w:rPr>
              <w:t xml:space="preserve"> poza obszarami Natura 2000</w:t>
            </w:r>
            <w:r w:rsidR="000B4F05">
              <w:rPr>
                <w:rFonts w:ascii="Times New Roman" w:eastAsia="Times New Roman" w:hAnsi="Times New Roman" w:cs="Times New Roman"/>
                <w:sz w:val="18"/>
                <w:szCs w:val="18"/>
              </w:rPr>
              <w:t xml:space="preserve"> i innymi obszarami objętymi ochroną dlatego nie ustalono wymagań w tym zakresie.</w:t>
            </w:r>
          </w:p>
        </w:tc>
      </w:tr>
      <w:tr w:rsidR="00D37604" w:rsidRPr="00EA1C22" w14:paraId="4423ED18" w14:textId="77777777" w:rsidTr="00AA531E">
        <w:trPr>
          <w:trHeight w:val="181"/>
        </w:trPr>
        <w:tc>
          <w:tcPr>
            <w:tcW w:w="2405" w:type="dxa"/>
            <w:vMerge/>
            <w:shd w:val="clear" w:color="auto" w:fill="F3F3F3"/>
          </w:tcPr>
          <w:p w14:paraId="064879D0"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2575C774"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5117" w:type="dxa"/>
          </w:tcPr>
          <w:p w14:paraId="32716B08" w14:textId="2330D50A" w:rsidR="00D37604" w:rsidRPr="00D85736" w:rsidRDefault="007278D4"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Teren jest położony poza tymi obszarami.</w:t>
            </w:r>
          </w:p>
        </w:tc>
      </w:tr>
      <w:tr w:rsidR="00D37604" w:rsidRPr="00EA1C22" w14:paraId="6C30C345" w14:textId="77777777" w:rsidTr="00AA531E">
        <w:trPr>
          <w:trHeight w:val="181"/>
        </w:trPr>
        <w:tc>
          <w:tcPr>
            <w:tcW w:w="2405" w:type="dxa"/>
            <w:vMerge/>
            <w:shd w:val="clear" w:color="auto" w:fill="F3F3F3"/>
          </w:tcPr>
          <w:p w14:paraId="314B8DBB"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3A891ADF" w14:textId="77777777" w:rsidR="00D37604" w:rsidRPr="00EA1C22" w:rsidRDefault="00D37604" w:rsidP="00167F9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5117" w:type="dxa"/>
          </w:tcPr>
          <w:p w14:paraId="38D8B1FB" w14:textId="1926CC14" w:rsidR="00D37604" w:rsidRPr="00D85736" w:rsidRDefault="00D85736" w:rsidP="00D37604">
            <w:pPr>
              <w:spacing w:beforeLines="60" w:before="144" w:afterLines="60" w:after="144" w:line="240" w:lineRule="auto"/>
              <w:jc w:val="both"/>
              <w:rPr>
                <w:rFonts w:ascii="Times New Roman" w:eastAsia="Times New Roman" w:hAnsi="Times New Roman" w:cs="Times New Roman"/>
                <w:sz w:val="18"/>
                <w:szCs w:val="18"/>
              </w:rPr>
            </w:pPr>
            <w:r w:rsidRPr="00D85736">
              <w:rPr>
                <w:rFonts w:ascii="Times New Roman" w:eastAsia="Times New Roman" w:hAnsi="Times New Roman" w:cs="Times New Roman"/>
                <w:sz w:val="18"/>
                <w:szCs w:val="18"/>
              </w:rPr>
              <w:t>Lokalizacja inwestycji nie jest objęta formami ochrony zabytków oraz nie jest objęta ochroną dziedzictwa kulturowego.</w:t>
            </w:r>
          </w:p>
        </w:tc>
      </w:tr>
      <w:tr w:rsidR="00D37604" w:rsidRPr="00EA1C22" w14:paraId="647A57E8" w14:textId="77777777" w:rsidTr="00AA531E">
        <w:trPr>
          <w:trHeight w:val="181"/>
        </w:trPr>
        <w:tc>
          <w:tcPr>
            <w:tcW w:w="2405" w:type="dxa"/>
            <w:vMerge/>
            <w:shd w:val="clear" w:color="auto" w:fill="F3F3F3"/>
          </w:tcPr>
          <w:p w14:paraId="25C02D26"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5890C0AD"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5117" w:type="dxa"/>
          </w:tcPr>
          <w:p w14:paraId="443C9DB1" w14:textId="5D53B39C" w:rsidR="00D37604" w:rsidRPr="00D85736" w:rsidRDefault="007278D4"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Teren jest położony poza tymi obszarami.</w:t>
            </w:r>
          </w:p>
        </w:tc>
      </w:tr>
      <w:tr w:rsidR="00D37604" w:rsidRPr="00EA1C22" w14:paraId="0A902239" w14:textId="77777777" w:rsidTr="00AA531E">
        <w:trPr>
          <w:trHeight w:val="181"/>
        </w:trPr>
        <w:tc>
          <w:tcPr>
            <w:tcW w:w="2405" w:type="dxa"/>
            <w:vMerge/>
            <w:shd w:val="clear" w:color="auto" w:fill="F3F3F3"/>
          </w:tcPr>
          <w:p w14:paraId="448B397F"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2C298B4A"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5117" w:type="dxa"/>
          </w:tcPr>
          <w:p w14:paraId="6447676E" w14:textId="77777777" w:rsidR="00D37604" w:rsidRPr="00D85736" w:rsidRDefault="00D85736" w:rsidP="00D37604">
            <w:pPr>
              <w:spacing w:beforeLines="60" w:before="144" w:afterLines="60" w:after="144" w:line="240" w:lineRule="auto"/>
              <w:jc w:val="both"/>
              <w:rPr>
                <w:rFonts w:ascii="Times New Roman" w:eastAsia="Times New Roman" w:hAnsi="Times New Roman" w:cs="Times New Roman"/>
                <w:sz w:val="18"/>
                <w:szCs w:val="18"/>
              </w:rPr>
            </w:pPr>
            <w:r w:rsidRPr="00D85736">
              <w:rPr>
                <w:rFonts w:ascii="Times New Roman" w:eastAsia="Times New Roman" w:hAnsi="Times New Roman" w:cs="Times New Roman"/>
                <w:sz w:val="18"/>
                <w:szCs w:val="18"/>
              </w:rPr>
              <w:t>Teren inwestycji posiada dostęp do drogi publicznej ul. Leszczynowej ( dz. nr 145/3).</w:t>
            </w:r>
          </w:p>
          <w:p w14:paraId="50D15AAB" w14:textId="3B8A8F6B" w:rsidR="00D85736" w:rsidRPr="00D85736" w:rsidRDefault="00D85736" w:rsidP="00D37604">
            <w:pPr>
              <w:spacing w:beforeLines="60" w:before="144" w:afterLines="60" w:after="144" w:line="240" w:lineRule="auto"/>
              <w:jc w:val="both"/>
              <w:rPr>
                <w:rFonts w:ascii="Times New Roman" w:eastAsia="Times New Roman" w:hAnsi="Times New Roman" w:cs="Times New Roman"/>
                <w:sz w:val="18"/>
                <w:szCs w:val="18"/>
              </w:rPr>
            </w:pPr>
            <w:r w:rsidRPr="00D85736">
              <w:rPr>
                <w:rFonts w:ascii="Times New Roman" w:eastAsia="Times New Roman" w:hAnsi="Times New Roman" w:cs="Times New Roman"/>
                <w:sz w:val="18"/>
                <w:szCs w:val="18"/>
              </w:rPr>
              <w:t>Wymagana ilość miejsc postojowych dla samochodów: min. 2 dla każdego z budynków.</w:t>
            </w:r>
          </w:p>
        </w:tc>
      </w:tr>
      <w:tr w:rsidR="00D37604" w:rsidRPr="00EA1C22" w14:paraId="6DCACE90" w14:textId="77777777" w:rsidTr="00AA531E">
        <w:trPr>
          <w:trHeight w:val="181"/>
        </w:trPr>
        <w:tc>
          <w:tcPr>
            <w:tcW w:w="2405" w:type="dxa"/>
            <w:vMerge/>
            <w:shd w:val="clear" w:color="auto" w:fill="F3F3F3"/>
          </w:tcPr>
          <w:p w14:paraId="567D9EDA"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Pr>
          <w:p w14:paraId="2C43E93D"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5117" w:type="dxa"/>
          </w:tcPr>
          <w:p w14:paraId="471B59B7" w14:textId="77777777" w:rsidR="00D37604" w:rsidRDefault="00D85736" w:rsidP="00D37604">
            <w:pPr>
              <w:spacing w:beforeLines="60" w:before="144" w:afterLines="60" w:after="144" w:line="240" w:lineRule="auto"/>
              <w:jc w:val="both"/>
              <w:rPr>
                <w:rFonts w:ascii="Times New Roman" w:eastAsia="Times New Roman" w:hAnsi="Times New Roman" w:cs="Times New Roman"/>
                <w:sz w:val="18"/>
                <w:szCs w:val="18"/>
              </w:rPr>
            </w:pPr>
            <w:r w:rsidRPr="00D85736">
              <w:rPr>
                <w:rFonts w:ascii="Times New Roman" w:eastAsia="Times New Roman" w:hAnsi="Times New Roman" w:cs="Times New Roman"/>
                <w:sz w:val="18"/>
                <w:szCs w:val="18"/>
              </w:rPr>
              <w:t>Zaopatrzenie w wodę – dopuszcza się ujęcia własne (studnie) na posesji. Docelowo należy doprowadzić wodę z gminnej sieci wodociągowej.</w:t>
            </w:r>
          </w:p>
          <w:p w14:paraId="3F0605E6" w14:textId="77777777" w:rsidR="00D85736" w:rsidRDefault="00D85736"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Odprowadzanie ścieków  - dopuszcza się realizację zbiorników szczelnych na posesji inwestora . Docelowo ścieki należy odprowadzić do gminnej sieci kanalizacji sanitarnej.</w:t>
            </w:r>
          </w:p>
          <w:p w14:paraId="3CF791BF" w14:textId="77777777" w:rsidR="00D85736" w:rsidRDefault="00D85736"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Energia elektryczna – z projektowanych przyłączy, zgodnie z warunkami przez PGE Dystrybucja S.A.</w:t>
            </w:r>
          </w:p>
          <w:p w14:paraId="46C8E0A7" w14:textId="77777777" w:rsidR="00D85736" w:rsidRDefault="00D85736"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Zaopatrzenie w energię cieplną – z własnego źródła  - wg rozwiązań indywidualnych na paliwo</w:t>
            </w:r>
            <w:r w:rsidR="005C1C6B">
              <w:rPr>
                <w:rFonts w:ascii="Times New Roman" w:eastAsia="Times New Roman" w:hAnsi="Times New Roman" w:cs="Times New Roman"/>
                <w:sz w:val="18"/>
                <w:szCs w:val="18"/>
              </w:rPr>
              <w:t>, nie powodujące nadmiernych zanieczyszczeń powietrza i/lub z projektowanych instalacji pozyskujących energię cieplną ze źródeł odnawialnych</w:t>
            </w:r>
            <w:r w:rsidR="007278D4">
              <w:rPr>
                <w:rFonts w:ascii="Times New Roman" w:eastAsia="Times New Roman" w:hAnsi="Times New Roman" w:cs="Times New Roman"/>
                <w:sz w:val="18"/>
                <w:szCs w:val="18"/>
              </w:rPr>
              <w:t>.</w:t>
            </w:r>
          </w:p>
          <w:p w14:paraId="3C48857B" w14:textId="77777777" w:rsidR="007278D4" w:rsidRDefault="007278D4"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Odprowadzenie wód opadowych – powierzchniowo na własny nieutwardzony teren inwestycji</w:t>
            </w:r>
          </w:p>
          <w:p w14:paraId="44578D0C" w14:textId="4FEC5DD6" w:rsidR="007278D4" w:rsidRPr="00D85736" w:rsidRDefault="007278D4"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Odpady komunalne należy gromadzić na terenie własnej działki budowlanej , w miejscu służącym do gromadzenia odpadów stałych, wywożonych przez przedsiębiorstwo oczyszczania, zgodnie z wymogami ustawy o odpadach oraz ustawy o utrzymaniu czystości i porządku w gminach.</w:t>
            </w:r>
          </w:p>
        </w:tc>
      </w:tr>
      <w:tr w:rsidR="00D37604" w:rsidRPr="00EA1C22" w14:paraId="5D120610" w14:textId="77777777" w:rsidTr="00AA531E">
        <w:trPr>
          <w:trHeight w:val="73"/>
        </w:trPr>
        <w:tc>
          <w:tcPr>
            <w:tcW w:w="2405" w:type="dxa"/>
            <w:vMerge w:val="restart"/>
            <w:shd w:val="clear" w:color="auto" w:fill="F3F3F3"/>
          </w:tcPr>
          <w:p w14:paraId="186355EA"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EA1C22">
                <w:rPr>
                  <w:rFonts w:ascii="Times New Roman" w:eastAsia="Times New Roman" w:hAnsi="Times New Roman" w:cs="Times New Roman"/>
                  <w:sz w:val="20"/>
                  <w:szCs w:val="20"/>
                </w:rPr>
                <w:t>1 km</w:t>
              </w:r>
            </w:smartTag>
            <w:r w:rsidRPr="00EA1C22">
              <w:rPr>
                <w:rFonts w:ascii="Times New Roman" w:eastAsia="Times New Roman" w:hAnsi="Times New Roman" w:cs="Times New Roman"/>
                <w:sz w:val="20"/>
                <w:szCs w:val="20"/>
              </w:rPr>
              <w:t xml:space="preserve"> od przedmiotowej nieruchomości</w:t>
            </w:r>
            <w:r w:rsidRPr="00EA1C22">
              <w:rPr>
                <w:rFonts w:ascii="Times New Roman" w:eastAsia="Times New Roman" w:hAnsi="Times New Roman" w:cs="Times New Roman"/>
                <w:sz w:val="20"/>
                <w:szCs w:val="20"/>
                <w:vertAlign w:val="superscript"/>
              </w:rPr>
              <w:footnoteReference w:customMarkFollows="1" w:id="6"/>
              <w:t>5)</w:t>
            </w:r>
            <w:r w:rsidRPr="00EA1C22">
              <w:rPr>
                <w:rFonts w:ascii="Times New Roman" w:eastAsia="Times New Roman" w:hAnsi="Times New Roman" w:cs="Times New Roman"/>
                <w:sz w:val="20"/>
                <w:szCs w:val="20"/>
              </w:rPr>
              <w:t>, zawarte w:</w:t>
            </w:r>
          </w:p>
          <w:p w14:paraId="35E39F31"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785EE294" w14:textId="77777777" w:rsidR="00D37604" w:rsidRPr="00A86DDC"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A86DDC">
              <w:rPr>
                <w:rFonts w:ascii="Times New Roman" w:eastAsia="Times New Roman" w:hAnsi="Times New Roman" w:cs="Times New Roman"/>
                <w:sz w:val="20"/>
                <w:szCs w:val="20"/>
              </w:rPr>
              <w:t>miejscowych planach zagospodarowania przestrzennego</w:t>
            </w:r>
          </w:p>
        </w:tc>
        <w:tc>
          <w:tcPr>
            <w:tcW w:w="5117" w:type="dxa"/>
          </w:tcPr>
          <w:p w14:paraId="4A10139B" w14:textId="77777777" w:rsidR="00D37604" w:rsidRPr="00A86DDC" w:rsidRDefault="005E64A1" w:rsidP="00D37604">
            <w:pPr>
              <w:spacing w:beforeLines="60" w:before="144" w:afterLines="60" w:after="144" w:line="240" w:lineRule="auto"/>
              <w:jc w:val="both"/>
              <w:rPr>
                <w:rFonts w:ascii="Times New Roman" w:hAnsi="Times New Roman" w:cs="Times New Roman"/>
                <w:sz w:val="18"/>
                <w:szCs w:val="18"/>
              </w:rPr>
            </w:pPr>
            <w:r w:rsidRPr="00A86DDC">
              <w:rPr>
                <w:rFonts w:ascii="Times New Roman" w:hAnsi="Times New Roman" w:cs="Times New Roman"/>
                <w:sz w:val="18"/>
                <w:szCs w:val="18"/>
              </w:rPr>
              <w:t>Na terenie w promieniu 1 km od przedmiotowej nieruchomości obowiązują następujące plany zagospodarowania przestrzennego:</w:t>
            </w:r>
          </w:p>
          <w:p w14:paraId="24B7A76F" w14:textId="2E76EB74" w:rsidR="00422FB0" w:rsidRPr="00A86DDC" w:rsidRDefault="005E64A1" w:rsidP="005E64A1">
            <w:pPr>
              <w:spacing w:beforeLines="60" w:before="144" w:afterLines="60" w:after="144" w:line="240" w:lineRule="auto"/>
              <w:jc w:val="both"/>
              <w:rPr>
                <w:rFonts w:ascii="Times New Roman" w:eastAsia="Times New Roman" w:hAnsi="Times New Roman" w:cs="Times New Roman"/>
                <w:sz w:val="18"/>
                <w:szCs w:val="18"/>
              </w:rPr>
            </w:pPr>
            <w:r w:rsidRPr="00A86DDC">
              <w:rPr>
                <w:rFonts w:ascii="Times New Roman" w:hAnsi="Times New Roman" w:cs="Times New Roman"/>
                <w:sz w:val="18"/>
                <w:szCs w:val="18"/>
              </w:rPr>
              <w:t xml:space="preserve">1) </w:t>
            </w:r>
            <w:r w:rsidR="00422FB0" w:rsidRPr="00A86DDC">
              <w:rPr>
                <w:rFonts w:ascii="Times New Roman" w:hAnsi="Times New Roman" w:cs="Times New Roman"/>
                <w:sz w:val="18"/>
                <w:szCs w:val="18"/>
              </w:rPr>
              <w:t>Miejscowy plan zagospodarowania przestrzennego części terenu wsi Grabówka w Gminie Supraśl, w rejonie ulicy Leszczynowej</w:t>
            </w:r>
            <w:r w:rsidRPr="00A86DDC">
              <w:rPr>
                <w:rFonts w:ascii="Times New Roman" w:hAnsi="Times New Roman" w:cs="Times New Roman"/>
                <w:sz w:val="18"/>
                <w:szCs w:val="18"/>
              </w:rPr>
              <w:t xml:space="preserve">, Uchwała </w:t>
            </w:r>
            <w:r w:rsidR="00422FB0" w:rsidRPr="00A86DDC">
              <w:rPr>
                <w:rFonts w:ascii="Times New Roman" w:hAnsi="Times New Roman" w:cs="Times New Roman"/>
                <w:sz w:val="18"/>
                <w:szCs w:val="18"/>
              </w:rPr>
              <w:t xml:space="preserve">VIII/74/11 Rady Miejskiej </w:t>
            </w:r>
            <w:r w:rsidR="00186C41" w:rsidRPr="00A86DDC">
              <w:rPr>
                <w:rFonts w:ascii="Times New Roman" w:hAnsi="Times New Roman" w:cs="Times New Roman"/>
                <w:sz w:val="18"/>
                <w:szCs w:val="18"/>
              </w:rPr>
              <w:t>w</w:t>
            </w:r>
            <w:r w:rsidR="00422FB0" w:rsidRPr="00A86DDC">
              <w:rPr>
                <w:rFonts w:ascii="Times New Roman" w:hAnsi="Times New Roman" w:cs="Times New Roman"/>
                <w:sz w:val="18"/>
                <w:szCs w:val="18"/>
              </w:rPr>
              <w:t xml:space="preserve"> Supraślu z dnia 16 czerwca 2011 r.</w:t>
            </w:r>
          </w:p>
          <w:p w14:paraId="557B23CA" w14:textId="482C073F" w:rsidR="00422FB0" w:rsidRPr="00A86DDC" w:rsidRDefault="00186C41" w:rsidP="005E64A1">
            <w:pPr>
              <w:spacing w:beforeLines="60" w:before="144" w:afterLines="60" w:after="144" w:line="240" w:lineRule="auto"/>
              <w:jc w:val="both"/>
              <w:rPr>
                <w:rFonts w:ascii="Times New Roman" w:eastAsia="Times New Roman" w:hAnsi="Times New Roman" w:cs="Times New Roman"/>
                <w:sz w:val="18"/>
                <w:szCs w:val="18"/>
              </w:rPr>
            </w:pPr>
            <w:hyperlink r:id="rId9" w:history="1">
              <w:r w:rsidRPr="00A86DDC">
                <w:rPr>
                  <w:rStyle w:val="Hipercze"/>
                  <w:rFonts w:ascii="Times New Roman" w:eastAsia="Times New Roman" w:hAnsi="Times New Roman" w:cs="Times New Roman"/>
                  <w:color w:val="auto"/>
                  <w:sz w:val="18"/>
                  <w:szCs w:val="18"/>
                </w:rPr>
                <w:t>https://grabowka.e-mapa.net/?service=pln&amp;request=getUchwala&amp;p=9</w:t>
              </w:r>
            </w:hyperlink>
          </w:p>
          <w:p w14:paraId="469FBB7B" w14:textId="698ECBAC" w:rsidR="005E64A1" w:rsidRPr="00A86DDC" w:rsidRDefault="00422FB0" w:rsidP="00186C41">
            <w:pPr>
              <w:spacing w:beforeLines="60" w:before="144" w:afterLines="60" w:after="144" w:line="240" w:lineRule="auto"/>
              <w:jc w:val="both"/>
              <w:rPr>
                <w:rFonts w:ascii="Times New Roman" w:eastAsia="Times New Roman" w:hAnsi="Times New Roman" w:cs="Times New Roman"/>
                <w:sz w:val="18"/>
                <w:szCs w:val="18"/>
              </w:rPr>
            </w:pPr>
            <w:r w:rsidRPr="00A86DDC">
              <w:rPr>
                <w:rFonts w:ascii="Times New Roman" w:eastAsia="Times New Roman" w:hAnsi="Times New Roman" w:cs="Times New Roman"/>
                <w:sz w:val="18"/>
                <w:szCs w:val="18"/>
              </w:rPr>
              <w:t>2)</w:t>
            </w:r>
            <w:r w:rsidR="005E64A1" w:rsidRPr="00A86DDC">
              <w:rPr>
                <w:rFonts w:ascii="Times New Roman" w:eastAsia="Times New Roman" w:hAnsi="Times New Roman" w:cs="Times New Roman"/>
                <w:sz w:val="18"/>
                <w:szCs w:val="18"/>
              </w:rPr>
              <w:t xml:space="preserve"> Miejscowy plan zagospodarowania przestrzennego </w:t>
            </w:r>
            <w:r w:rsidR="00186C41" w:rsidRPr="00A86DDC">
              <w:rPr>
                <w:rFonts w:ascii="Times New Roman" w:eastAsia="Times New Roman" w:hAnsi="Times New Roman" w:cs="Times New Roman"/>
                <w:sz w:val="18"/>
                <w:szCs w:val="18"/>
              </w:rPr>
              <w:t xml:space="preserve">części gminy Supraśl w obrębie geodezyjnym wsi Grabówka i Sobolewo. </w:t>
            </w:r>
            <w:r w:rsidR="005E64A1" w:rsidRPr="00A86DDC">
              <w:rPr>
                <w:rFonts w:ascii="Times New Roman" w:eastAsia="Times New Roman" w:hAnsi="Times New Roman" w:cs="Times New Roman"/>
                <w:sz w:val="18"/>
                <w:szCs w:val="18"/>
              </w:rPr>
              <w:t xml:space="preserve">Uchwała </w:t>
            </w:r>
            <w:r w:rsidR="00186C41" w:rsidRPr="00A86DDC">
              <w:rPr>
                <w:rFonts w:ascii="Times New Roman" w:eastAsia="Times New Roman" w:hAnsi="Times New Roman" w:cs="Times New Roman"/>
                <w:sz w:val="18"/>
                <w:szCs w:val="18"/>
              </w:rPr>
              <w:t>nr XVII/162/04 Rady Miejskiej w Supraślu z dnia 24 kwietnia 2004 r.</w:t>
            </w:r>
          </w:p>
          <w:p w14:paraId="075DEAB2" w14:textId="390166C9" w:rsidR="00A86DDC" w:rsidRPr="00A86DDC" w:rsidRDefault="00186C41" w:rsidP="005E64A1">
            <w:pPr>
              <w:spacing w:beforeLines="60" w:before="144" w:afterLines="60" w:after="144" w:line="240" w:lineRule="auto"/>
              <w:jc w:val="both"/>
              <w:rPr>
                <w:rFonts w:ascii="Times New Roman" w:eastAsia="Times New Roman" w:hAnsi="Times New Roman" w:cs="Times New Roman"/>
                <w:sz w:val="18"/>
                <w:szCs w:val="18"/>
              </w:rPr>
            </w:pPr>
            <w:hyperlink r:id="rId10" w:history="1">
              <w:r w:rsidRPr="00A86DDC">
                <w:rPr>
                  <w:rStyle w:val="Hipercze"/>
                  <w:rFonts w:ascii="Times New Roman" w:eastAsia="Times New Roman" w:hAnsi="Times New Roman" w:cs="Times New Roman"/>
                  <w:color w:val="auto"/>
                  <w:sz w:val="18"/>
                  <w:szCs w:val="18"/>
                </w:rPr>
                <w:t>https://grabowka.e-mapa.net/?service=pln&amp;request=getUchwala&amp;p=3</w:t>
              </w:r>
            </w:hyperlink>
          </w:p>
          <w:p w14:paraId="3F48D45C" w14:textId="77777777" w:rsidR="00A86DDC" w:rsidRPr="00A86DDC" w:rsidRDefault="00A86DDC" w:rsidP="005E64A1">
            <w:pPr>
              <w:spacing w:beforeLines="60" w:before="144" w:afterLines="60" w:after="144" w:line="240" w:lineRule="auto"/>
              <w:jc w:val="both"/>
              <w:rPr>
                <w:rFonts w:ascii="Times New Roman" w:eastAsia="Times New Roman" w:hAnsi="Times New Roman" w:cs="Times New Roman"/>
                <w:sz w:val="18"/>
                <w:szCs w:val="18"/>
              </w:rPr>
            </w:pPr>
          </w:p>
          <w:p w14:paraId="26D4A446" w14:textId="0BDC42D9" w:rsidR="00186C41" w:rsidRPr="00A86DDC" w:rsidRDefault="005E64A1" w:rsidP="00186C41">
            <w:pPr>
              <w:spacing w:beforeLines="60" w:before="144" w:afterLines="60" w:after="144" w:line="240" w:lineRule="auto"/>
              <w:jc w:val="both"/>
              <w:rPr>
                <w:rFonts w:ascii="Times New Roman" w:eastAsia="Times New Roman" w:hAnsi="Times New Roman" w:cs="Times New Roman"/>
                <w:b/>
                <w:bCs/>
                <w:sz w:val="18"/>
                <w:szCs w:val="18"/>
              </w:rPr>
            </w:pPr>
            <w:r w:rsidRPr="00A86DDC">
              <w:rPr>
                <w:rFonts w:ascii="Times New Roman" w:eastAsia="Times New Roman" w:hAnsi="Times New Roman" w:cs="Times New Roman"/>
                <w:sz w:val="18"/>
                <w:szCs w:val="18"/>
              </w:rPr>
              <w:t xml:space="preserve">3) Miejscowy plan zagospodarowania przestrzennego </w:t>
            </w:r>
            <w:r w:rsidR="00186C41" w:rsidRPr="00A86DDC">
              <w:rPr>
                <w:rFonts w:ascii="Times New Roman" w:eastAsia="Times New Roman" w:hAnsi="Times New Roman" w:cs="Times New Roman"/>
                <w:sz w:val="18"/>
                <w:szCs w:val="18"/>
              </w:rPr>
              <w:t>części gminy Supraśl w rejonie wsi Zaścianki i Grabówka. Uchwała nr XVI/154/2015 Rady Miejskiej w Supraślu</w:t>
            </w:r>
            <w:r w:rsidR="00186C41" w:rsidRPr="00A86DDC">
              <w:rPr>
                <w:rFonts w:ascii="Times New Roman" w:eastAsia="Times New Roman" w:hAnsi="Times New Roman" w:cs="Times New Roman"/>
                <w:b/>
                <w:bCs/>
                <w:sz w:val="18"/>
                <w:szCs w:val="18"/>
              </w:rPr>
              <w:t xml:space="preserve"> </w:t>
            </w:r>
            <w:r w:rsidR="00186C41" w:rsidRPr="00186C41">
              <w:rPr>
                <w:rFonts w:ascii="Times New Roman" w:eastAsia="Times New Roman" w:hAnsi="Times New Roman" w:cs="Times New Roman"/>
                <w:sz w:val="18"/>
                <w:szCs w:val="18"/>
              </w:rPr>
              <w:t>z dnia 17 grudnia 2015 r.</w:t>
            </w:r>
          </w:p>
          <w:p w14:paraId="3E429639" w14:textId="5C35DA46" w:rsidR="00186C41" w:rsidRPr="00A86DDC" w:rsidRDefault="00A86DDC" w:rsidP="00186C41">
            <w:pPr>
              <w:spacing w:beforeLines="60" w:before="144" w:afterLines="60" w:after="144" w:line="240" w:lineRule="auto"/>
              <w:jc w:val="both"/>
              <w:rPr>
                <w:rFonts w:ascii="Times New Roman" w:eastAsia="Times New Roman" w:hAnsi="Times New Roman" w:cs="Times New Roman"/>
                <w:sz w:val="18"/>
                <w:szCs w:val="18"/>
              </w:rPr>
            </w:pPr>
            <w:hyperlink r:id="rId11" w:history="1">
              <w:r w:rsidRPr="00A86DDC">
                <w:rPr>
                  <w:rStyle w:val="Hipercze"/>
                  <w:rFonts w:ascii="Times New Roman" w:eastAsia="Times New Roman" w:hAnsi="Times New Roman" w:cs="Times New Roman"/>
                  <w:color w:val="auto"/>
                  <w:sz w:val="18"/>
                  <w:szCs w:val="18"/>
                </w:rPr>
                <w:t>https://grabowka.e-mapa.net/?service=pln&amp;request=getUchwala&amp;p=14</w:t>
              </w:r>
            </w:hyperlink>
          </w:p>
          <w:p w14:paraId="4A45C9A2" w14:textId="77777777" w:rsidR="00A86DDC" w:rsidRPr="00A86DDC" w:rsidRDefault="00A86DDC" w:rsidP="00186C41">
            <w:pPr>
              <w:spacing w:beforeLines="60" w:before="144" w:afterLines="60" w:after="144" w:line="240" w:lineRule="auto"/>
              <w:jc w:val="both"/>
              <w:rPr>
                <w:rFonts w:ascii="Times New Roman" w:eastAsia="Times New Roman" w:hAnsi="Times New Roman" w:cs="Times New Roman"/>
                <w:b/>
                <w:bCs/>
                <w:sz w:val="18"/>
                <w:szCs w:val="18"/>
              </w:rPr>
            </w:pPr>
          </w:p>
          <w:p w14:paraId="627FA6FA" w14:textId="528CEBB4" w:rsidR="005E64A1" w:rsidRPr="00A86DDC" w:rsidRDefault="005E64A1" w:rsidP="00186C41">
            <w:pPr>
              <w:spacing w:beforeLines="60" w:before="144" w:afterLines="60" w:after="144" w:line="240" w:lineRule="auto"/>
              <w:jc w:val="both"/>
              <w:rPr>
                <w:rFonts w:ascii="Times New Roman" w:eastAsia="Times New Roman" w:hAnsi="Times New Roman" w:cs="Times New Roman"/>
                <w:sz w:val="18"/>
                <w:szCs w:val="18"/>
              </w:rPr>
            </w:pPr>
          </w:p>
          <w:p w14:paraId="6B27486A" w14:textId="7491F81F" w:rsidR="005E64A1" w:rsidRPr="00A86DDC" w:rsidRDefault="005E64A1" w:rsidP="005E64A1">
            <w:pPr>
              <w:spacing w:beforeLines="60" w:before="144" w:afterLines="60" w:after="144" w:line="240" w:lineRule="auto"/>
              <w:jc w:val="both"/>
              <w:rPr>
                <w:rFonts w:ascii="Times New Roman" w:eastAsia="Times New Roman" w:hAnsi="Times New Roman" w:cs="Times New Roman"/>
                <w:sz w:val="18"/>
                <w:szCs w:val="18"/>
              </w:rPr>
            </w:pPr>
          </w:p>
        </w:tc>
      </w:tr>
      <w:tr w:rsidR="00D37604" w:rsidRPr="00EA1C22" w14:paraId="08766E9D" w14:textId="77777777" w:rsidTr="00AA531E">
        <w:trPr>
          <w:trHeight w:val="71"/>
        </w:trPr>
        <w:tc>
          <w:tcPr>
            <w:tcW w:w="2405" w:type="dxa"/>
            <w:vMerge/>
            <w:shd w:val="clear" w:color="auto" w:fill="F3F3F3"/>
          </w:tcPr>
          <w:p w14:paraId="177F81E3"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11A68E6D" w14:textId="77777777" w:rsidR="00D37604" w:rsidRPr="00422FB0" w:rsidRDefault="00D37604" w:rsidP="005E64A1">
            <w:pPr>
              <w:spacing w:beforeLines="60" w:before="144" w:afterLines="60" w:after="144" w:line="240" w:lineRule="auto"/>
              <w:rPr>
                <w:rFonts w:ascii="Times New Roman" w:eastAsia="Times New Roman" w:hAnsi="Times New Roman" w:cs="Times New Roman"/>
                <w:sz w:val="20"/>
                <w:szCs w:val="20"/>
              </w:rPr>
            </w:pPr>
            <w:r w:rsidRPr="00422FB0">
              <w:rPr>
                <w:rFonts w:ascii="Times New Roman" w:eastAsia="Times New Roman" w:hAnsi="Times New Roman" w:cs="Times New Roman"/>
                <w:sz w:val="20"/>
                <w:szCs w:val="20"/>
              </w:rPr>
              <w:t xml:space="preserve">studium uwarunkowań i kierunków zagospodarowania przestrzennego gminy </w:t>
            </w:r>
          </w:p>
        </w:tc>
        <w:tc>
          <w:tcPr>
            <w:tcW w:w="5117" w:type="dxa"/>
          </w:tcPr>
          <w:p w14:paraId="403D182A" w14:textId="0267C6FC" w:rsidR="00131441" w:rsidRPr="00422FB0" w:rsidRDefault="002C28ED" w:rsidP="00131441">
            <w:pPr>
              <w:spacing w:beforeLines="60" w:before="144" w:afterLines="60" w:after="144" w:line="240" w:lineRule="auto"/>
              <w:jc w:val="both"/>
              <w:rPr>
                <w:rFonts w:ascii="Times New Roman" w:eastAsia="Times New Roman" w:hAnsi="Times New Roman" w:cs="Times New Roman"/>
                <w:sz w:val="18"/>
                <w:szCs w:val="18"/>
              </w:rPr>
            </w:pPr>
            <w:r w:rsidRPr="00422FB0">
              <w:rPr>
                <w:rFonts w:ascii="Times New Roman" w:eastAsia="Times New Roman" w:hAnsi="Times New Roman" w:cs="Times New Roman"/>
                <w:sz w:val="18"/>
                <w:szCs w:val="18"/>
              </w:rPr>
              <w:t xml:space="preserve">Obowiązuje uchwała: nr </w:t>
            </w:r>
            <w:r w:rsidR="00131441" w:rsidRPr="00422FB0">
              <w:rPr>
                <w:rFonts w:ascii="Times New Roman" w:eastAsia="Times New Roman" w:hAnsi="Times New Roman" w:cs="Times New Roman"/>
                <w:sz w:val="18"/>
                <w:szCs w:val="18"/>
              </w:rPr>
              <w:t xml:space="preserve">XXXI/391/2021 Rady Miejskiej w Supraślu z dnia 29 listopada 2021 r. </w:t>
            </w:r>
          </w:p>
          <w:p w14:paraId="3DB29E79" w14:textId="26528F6F" w:rsidR="00131441" w:rsidRPr="00422FB0" w:rsidRDefault="00131441" w:rsidP="00131441">
            <w:pPr>
              <w:spacing w:beforeLines="60" w:before="144" w:afterLines="60" w:after="144" w:line="240" w:lineRule="auto"/>
              <w:jc w:val="both"/>
              <w:rPr>
                <w:rFonts w:ascii="Times New Roman" w:eastAsia="Times New Roman" w:hAnsi="Times New Roman" w:cs="Times New Roman"/>
                <w:sz w:val="18"/>
                <w:szCs w:val="18"/>
              </w:rPr>
            </w:pPr>
            <w:hyperlink r:id="rId12" w:history="1">
              <w:r w:rsidRPr="00422FB0">
                <w:rPr>
                  <w:rStyle w:val="Hipercze"/>
                  <w:rFonts w:ascii="Times New Roman" w:eastAsia="Times New Roman" w:hAnsi="Times New Roman" w:cs="Times New Roman"/>
                  <w:color w:val="auto"/>
                  <w:sz w:val="18"/>
                  <w:szCs w:val="18"/>
                </w:rPr>
                <w:t>https://bip-umsuprasl.wrotapodlasia.pl/resource/14696/Studiumtekst_suprasl_uchwala_23grudzien.pdf</w:t>
              </w:r>
            </w:hyperlink>
          </w:p>
        </w:tc>
      </w:tr>
      <w:tr w:rsidR="00D37604" w:rsidRPr="00EA1C22" w14:paraId="5743166B" w14:textId="77777777" w:rsidTr="00AA531E">
        <w:trPr>
          <w:trHeight w:val="71"/>
        </w:trPr>
        <w:tc>
          <w:tcPr>
            <w:tcW w:w="2405" w:type="dxa"/>
            <w:vMerge/>
            <w:shd w:val="clear" w:color="auto" w:fill="F3F3F3"/>
          </w:tcPr>
          <w:p w14:paraId="427E2AAB"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7D37AD58" w14:textId="77777777" w:rsidR="00D37604" w:rsidRPr="00780A60" w:rsidRDefault="00D37604" w:rsidP="005E64A1">
            <w:pPr>
              <w:widowControl w:val="0"/>
              <w:autoSpaceDE w:val="0"/>
              <w:autoSpaceDN w:val="0"/>
              <w:adjustRightInd w:val="0"/>
              <w:spacing w:after="0" w:line="360" w:lineRule="auto"/>
              <w:rPr>
                <w:rFonts w:ascii="Times New Roman" w:eastAsia="Times New Roman" w:hAnsi="Times New Roman" w:cs="Times New Roman"/>
                <w:color w:val="000000" w:themeColor="text1"/>
                <w:sz w:val="20"/>
                <w:szCs w:val="20"/>
                <w:lang w:eastAsia="pl-PL"/>
              </w:rPr>
            </w:pPr>
            <w:r w:rsidRPr="00780A60">
              <w:rPr>
                <w:rFonts w:ascii="Times New Roman" w:eastAsia="Times New Roman" w:hAnsi="Times New Roman" w:cs="Times New Roman"/>
                <w:color w:val="000000" w:themeColor="text1"/>
                <w:sz w:val="20"/>
                <w:szCs w:val="20"/>
                <w:lang w:eastAsia="pl-PL"/>
              </w:rPr>
              <w:t>decyzjach o warunkach zabudowy i zagospodarowania terenu</w:t>
            </w:r>
          </w:p>
        </w:tc>
        <w:tc>
          <w:tcPr>
            <w:tcW w:w="5117" w:type="dxa"/>
          </w:tcPr>
          <w:p w14:paraId="5C021742" w14:textId="3E42C4D6" w:rsidR="00D37604" w:rsidRPr="00780A60" w:rsidRDefault="008C7B0E" w:rsidP="00D37604">
            <w:pPr>
              <w:spacing w:beforeLines="60" w:before="144" w:afterLines="60" w:after="144" w:line="240" w:lineRule="auto"/>
              <w:jc w:val="both"/>
              <w:rPr>
                <w:rFonts w:ascii="Times New Roman" w:eastAsia="Times New Roman" w:hAnsi="Times New Roman" w:cs="Times New Roman"/>
                <w:color w:val="000000" w:themeColor="text1"/>
                <w:sz w:val="18"/>
                <w:szCs w:val="18"/>
              </w:rPr>
            </w:pPr>
            <w:r w:rsidRPr="00780A60">
              <w:rPr>
                <w:rFonts w:ascii="Times New Roman" w:hAnsi="Times New Roman" w:cs="Times New Roman"/>
                <w:color w:val="000000" w:themeColor="text1"/>
                <w:sz w:val="18"/>
              </w:rPr>
              <w:t>Według najlepszej wiedzy dewelopera, uzyskanej przy zachowaniu należytej staranności nie są planowane żadne tego typu inwestycje.</w:t>
            </w:r>
          </w:p>
        </w:tc>
      </w:tr>
      <w:tr w:rsidR="00D37604" w:rsidRPr="00EA1C22" w14:paraId="239CBC85" w14:textId="77777777" w:rsidTr="00AA531E">
        <w:trPr>
          <w:trHeight w:val="71"/>
        </w:trPr>
        <w:tc>
          <w:tcPr>
            <w:tcW w:w="2405" w:type="dxa"/>
            <w:vMerge/>
            <w:shd w:val="clear" w:color="auto" w:fill="F3F3F3"/>
          </w:tcPr>
          <w:p w14:paraId="43BFDFBC"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32F71979" w14:textId="77777777" w:rsidR="00D37604" w:rsidRPr="00EA1C22" w:rsidRDefault="00D37604" w:rsidP="005E64A1">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środowiskowych uwarunkowaniach</w:t>
            </w:r>
          </w:p>
        </w:tc>
        <w:tc>
          <w:tcPr>
            <w:tcW w:w="5117" w:type="dxa"/>
          </w:tcPr>
          <w:p w14:paraId="4C98F931" w14:textId="080B56FC"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5039FE56" w14:textId="77777777" w:rsidTr="00AA531E">
        <w:trPr>
          <w:trHeight w:val="71"/>
        </w:trPr>
        <w:tc>
          <w:tcPr>
            <w:tcW w:w="2405" w:type="dxa"/>
            <w:vMerge/>
            <w:shd w:val="clear" w:color="auto" w:fill="F3F3F3"/>
          </w:tcPr>
          <w:p w14:paraId="4EF90D7C"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43873FB7" w14:textId="77777777" w:rsidR="00D37604" w:rsidRPr="00EA1C22" w:rsidRDefault="00D37604" w:rsidP="005E64A1">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obszarach ograniczonego użytkowania</w:t>
            </w:r>
          </w:p>
        </w:tc>
        <w:tc>
          <w:tcPr>
            <w:tcW w:w="5117" w:type="dxa"/>
          </w:tcPr>
          <w:p w14:paraId="36A41803" w14:textId="50644645"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15240E89" w14:textId="77777777" w:rsidTr="00AA531E">
        <w:trPr>
          <w:trHeight w:val="71"/>
        </w:trPr>
        <w:tc>
          <w:tcPr>
            <w:tcW w:w="2405" w:type="dxa"/>
            <w:vMerge/>
            <w:shd w:val="clear" w:color="auto" w:fill="F3F3F3"/>
          </w:tcPr>
          <w:p w14:paraId="5BDEFB83"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1463BB5E" w14:textId="77777777" w:rsidR="00D37604" w:rsidRPr="00EA1C22" w:rsidRDefault="00D37604" w:rsidP="005E64A1">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odbudowy</w:t>
            </w:r>
          </w:p>
        </w:tc>
        <w:tc>
          <w:tcPr>
            <w:tcW w:w="5117" w:type="dxa"/>
          </w:tcPr>
          <w:p w14:paraId="5117B268" w14:textId="53DBC8EE"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7F7FAFE4" w14:textId="77777777" w:rsidTr="00AA531E">
        <w:trPr>
          <w:trHeight w:val="71"/>
        </w:trPr>
        <w:tc>
          <w:tcPr>
            <w:tcW w:w="2405" w:type="dxa"/>
            <w:vMerge/>
            <w:shd w:val="clear" w:color="auto" w:fill="F3F3F3"/>
          </w:tcPr>
          <w:p w14:paraId="234E4D93"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0E02D5E6" w14:textId="77777777" w:rsidR="00D37604" w:rsidRPr="00EA1C22" w:rsidRDefault="00D37604" w:rsidP="005E64A1">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mapach zagrożenia powodziowego i mapach ryzyka powodziowego</w:t>
            </w:r>
          </w:p>
        </w:tc>
        <w:tc>
          <w:tcPr>
            <w:tcW w:w="5117" w:type="dxa"/>
          </w:tcPr>
          <w:p w14:paraId="1DD495B3" w14:textId="3FC997AE"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1F7C0346" w14:textId="77777777" w:rsidTr="00AA531E">
        <w:trPr>
          <w:trHeight w:val="71"/>
        </w:trPr>
        <w:tc>
          <w:tcPr>
            <w:tcW w:w="2405" w:type="dxa"/>
            <w:vMerge/>
            <w:shd w:val="clear" w:color="auto" w:fill="F3F3F3"/>
          </w:tcPr>
          <w:p w14:paraId="608BC30D"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7243" w:type="dxa"/>
            <w:gridSpan w:val="2"/>
          </w:tcPr>
          <w:p w14:paraId="6CC6A210" w14:textId="77777777" w:rsidR="00D37604" w:rsidRPr="00EA1C22" w:rsidRDefault="00D37604" w:rsidP="00D376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1B441F93"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37604" w:rsidRPr="00EA1C22" w14:paraId="59938CE7" w14:textId="77777777" w:rsidTr="00AA531E">
        <w:trPr>
          <w:trHeight w:val="84"/>
        </w:trPr>
        <w:tc>
          <w:tcPr>
            <w:tcW w:w="2405" w:type="dxa"/>
            <w:vMerge/>
            <w:shd w:val="clear" w:color="auto" w:fill="F3F3F3"/>
          </w:tcPr>
          <w:p w14:paraId="73966919"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6C4AC7A9" w14:textId="77777777" w:rsidR="00D37604" w:rsidRPr="00EA1C22" w:rsidRDefault="00D37604" w:rsidP="002C28ED">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drogowej</w:t>
            </w:r>
          </w:p>
        </w:tc>
        <w:tc>
          <w:tcPr>
            <w:tcW w:w="5117" w:type="dxa"/>
          </w:tcPr>
          <w:p w14:paraId="0BDA87AC" w14:textId="41206628"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049C02A7" w14:textId="77777777" w:rsidTr="00AA531E">
        <w:trPr>
          <w:trHeight w:val="81"/>
        </w:trPr>
        <w:tc>
          <w:tcPr>
            <w:tcW w:w="2405" w:type="dxa"/>
            <w:vMerge/>
            <w:shd w:val="clear" w:color="auto" w:fill="F3F3F3"/>
          </w:tcPr>
          <w:p w14:paraId="0C915555"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3E83686F" w14:textId="77777777" w:rsidR="00D37604" w:rsidRPr="00EA1C22" w:rsidRDefault="00D37604" w:rsidP="002C28ED">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linii kolejowej</w:t>
            </w:r>
          </w:p>
        </w:tc>
        <w:tc>
          <w:tcPr>
            <w:tcW w:w="5117" w:type="dxa"/>
          </w:tcPr>
          <w:p w14:paraId="524A39E6" w14:textId="5C672C47"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5600F993" w14:textId="77777777" w:rsidTr="00AA531E">
        <w:trPr>
          <w:trHeight w:val="81"/>
        </w:trPr>
        <w:tc>
          <w:tcPr>
            <w:tcW w:w="2405" w:type="dxa"/>
            <w:vMerge/>
            <w:shd w:val="clear" w:color="auto" w:fill="F3F3F3"/>
          </w:tcPr>
          <w:p w14:paraId="701E68D4"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59A874A4" w14:textId="77777777" w:rsidR="00D37604" w:rsidRPr="00EA1C22" w:rsidRDefault="00D37604" w:rsidP="002C28ED">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w zakresie lotniska użytku publicznego</w:t>
            </w:r>
          </w:p>
        </w:tc>
        <w:tc>
          <w:tcPr>
            <w:tcW w:w="5117" w:type="dxa"/>
          </w:tcPr>
          <w:p w14:paraId="2E8F9983" w14:textId="7B9E249A" w:rsidR="00D37604" w:rsidRPr="002C28ED" w:rsidRDefault="008C7B0E" w:rsidP="00D37604">
            <w:pPr>
              <w:spacing w:beforeLines="60" w:before="144" w:afterLines="60" w:after="144" w:line="240" w:lineRule="auto"/>
              <w:jc w:val="both"/>
              <w:rPr>
                <w:rFonts w:ascii="Times New Roman" w:eastAsia="Times New Roman" w:hAnsi="Times New Roman" w:cs="Times New Roman"/>
                <w:sz w:val="18"/>
                <w:szCs w:val="18"/>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73EE62F5" w14:textId="77777777" w:rsidTr="00AA531E">
        <w:trPr>
          <w:trHeight w:val="81"/>
        </w:trPr>
        <w:tc>
          <w:tcPr>
            <w:tcW w:w="2405" w:type="dxa"/>
            <w:vMerge/>
            <w:shd w:val="clear" w:color="auto" w:fill="F3F3F3"/>
          </w:tcPr>
          <w:p w14:paraId="7E736513"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2BF98097"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pozwoleniu na realizację inwestycji w zakresie budowli przeciwpowodziowych</w:t>
            </w:r>
          </w:p>
        </w:tc>
        <w:tc>
          <w:tcPr>
            <w:tcW w:w="5117" w:type="dxa"/>
          </w:tcPr>
          <w:p w14:paraId="1DC6EFE8" w14:textId="4869BF0A"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5A698B28" w14:textId="77777777" w:rsidTr="00AA531E">
        <w:trPr>
          <w:trHeight w:val="81"/>
        </w:trPr>
        <w:tc>
          <w:tcPr>
            <w:tcW w:w="2405" w:type="dxa"/>
            <w:vMerge/>
            <w:shd w:val="clear" w:color="auto" w:fill="F3F3F3"/>
          </w:tcPr>
          <w:p w14:paraId="1B573C61"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7CB413F3"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inwestycji w zakresie budowy obiektu energetyki jądrowej</w:t>
            </w:r>
          </w:p>
        </w:tc>
        <w:tc>
          <w:tcPr>
            <w:tcW w:w="5117" w:type="dxa"/>
          </w:tcPr>
          <w:p w14:paraId="236E52C1" w14:textId="0EAAC58D"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19B8294A" w14:textId="77777777" w:rsidTr="00AA531E">
        <w:trPr>
          <w:trHeight w:val="81"/>
        </w:trPr>
        <w:tc>
          <w:tcPr>
            <w:tcW w:w="2405" w:type="dxa"/>
            <w:vMerge/>
            <w:shd w:val="clear" w:color="auto" w:fill="F3F3F3"/>
          </w:tcPr>
          <w:p w14:paraId="1E0C5D97"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5B6F3E73"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strategicznej inwestycji w zakresie sieci przesyłowej</w:t>
            </w:r>
          </w:p>
        </w:tc>
        <w:tc>
          <w:tcPr>
            <w:tcW w:w="5117" w:type="dxa"/>
          </w:tcPr>
          <w:p w14:paraId="55BB9E63" w14:textId="1EDA89FB"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5C7EB9D1" w14:textId="77777777" w:rsidTr="00AA531E">
        <w:trPr>
          <w:trHeight w:val="81"/>
        </w:trPr>
        <w:tc>
          <w:tcPr>
            <w:tcW w:w="2405" w:type="dxa"/>
            <w:vMerge/>
            <w:shd w:val="clear" w:color="auto" w:fill="F3F3F3"/>
          </w:tcPr>
          <w:p w14:paraId="4914AFE2"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39AC4D30"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regionalnej sieci szerokopasmowej</w:t>
            </w:r>
          </w:p>
        </w:tc>
        <w:tc>
          <w:tcPr>
            <w:tcW w:w="5117" w:type="dxa"/>
          </w:tcPr>
          <w:p w14:paraId="221A0D58" w14:textId="414B0829"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322DAE6A" w14:textId="77777777" w:rsidTr="00AA531E">
        <w:trPr>
          <w:trHeight w:val="81"/>
        </w:trPr>
        <w:tc>
          <w:tcPr>
            <w:tcW w:w="2405" w:type="dxa"/>
            <w:vMerge/>
            <w:shd w:val="clear" w:color="auto" w:fill="F3F3F3"/>
          </w:tcPr>
          <w:p w14:paraId="04AB6065"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3D9DB186"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decyzja o ustaleniu lokalizacji inwestycji w zakresie Centralnego Portu Komunikacyjnego </w:t>
            </w:r>
          </w:p>
        </w:tc>
        <w:tc>
          <w:tcPr>
            <w:tcW w:w="5117" w:type="dxa"/>
          </w:tcPr>
          <w:p w14:paraId="65B0294F" w14:textId="2C14E18B"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6D8D38DE" w14:textId="77777777" w:rsidTr="00AA531E">
        <w:trPr>
          <w:trHeight w:val="81"/>
        </w:trPr>
        <w:tc>
          <w:tcPr>
            <w:tcW w:w="2405" w:type="dxa"/>
            <w:vMerge/>
            <w:shd w:val="clear" w:color="auto" w:fill="F3F3F3"/>
          </w:tcPr>
          <w:p w14:paraId="1D88F5DF"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2A4D2BED"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zezwoleniu na realizację</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inwestycji w zakresie infrastruktury dostępowej</w:t>
            </w:r>
          </w:p>
        </w:tc>
        <w:tc>
          <w:tcPr>
            <w:tcW w:w="5117" w:type="dxa"/>
          </w:tcPr>
          <w:p w14:paraId="6D9AFA9D" w14:textId="64656ADB"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2FE8FF30" w14:textId="77777777" w:rsidTr="00AA531E">
        <w:trPr>
          <w:trHeight w:val="81"/>
        </w:trPr>
        <w:tc>
          <w:tcPr>
            <w:tcW w:w="2405" w:type="dxa"/>
            <w:vMerge/>
            <w:shd w:val="clear" w:color="auto" w:fill="F3F3F3"/>
          </w:tcPr>
          <w:p w14:paraId="5DCB82C6" w14:textId="77777777" w:rsidR="00D37604" w:rsidRPr="00EA1C22" w:rsidRDefault="00D37604" w:rsidP="00D37604">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126" w:type="dxa"/>
          </w:tcPr>
          <w:p w14:paraId="6364D5F2" w14:textId="77777777" w:rsidR="00D37604" w:rsidRPr="00EA1C22" w:rsidRDefault="00D37604" w:rsidP="008C7B0E">
            <w:pPr>
              <w:spacing w:beforeLines="60" w:before="144" w:afterLines="60" w:after="144" w:line="240" w:lineRule="auto"/>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 o ustaleniu lokalizacji strategicznej inwestycji w sektorze naftowym</w:t>
            </w:r>
          </w:p>
        </w:tc>
        <w:tc>
          <w:tcPr>
            <w:tcW w:w="5117" w:type="dxa"/>
          </w:tcPr>
          <w:p w14:paraId="2E7093F6" w14:textId="14B9804B" w:rsidR="00D37604" w:rsidRPr="00EA1C22" w:rsidRDefault="008C7B0E" w:rsidP="00D37604">
            <w:pPr>
              <w:spacing w:beforeLines="60" w:before="144" w:afterLines="60" w:after="144" w:line="240" w:lineRule="auto"/>
              <w:jc w:val="both"/>
              <w:rPr>
                <w:rFonts w:ascii="Times New Roman" w:eastAsia="Times New Roman" w:hAnsi="Times New Roman" w:cs="Times New Roman"/>
                <w:sz w:val="20"/>
                <w:szCs w:val="20"/>
              </w:rPr>
            </w:pPr>
            <w:r w:rsidRPr="009038AA">
              <w:rPr>
                <w:rFonts w:ascii="Times New Roman" w:hAnsi="Times New Roman" w:cs="Times New Roman"/>
                <w:sz w:val="18"/>
              </w:rPr>
              <w:t>Według najlepszej wiedzy dewelopera, uzyskanej przy zachowaniu należytej staranności nie są planowane żadne tego typu inwestycje.</w:t>
            </w:r>
          </w:p>
        </w:tc>
      </w:tr>
      <w:tr w:rsidR="00D37604" w:rsidRPr="00EA1C22" w14:paraId="719986B0" w14:textId="77777777" w:rsidTr="002568E5">
        <w:trPr>
          <w:trHeight w:val="390"/>
        </w:trPr>
        <w:tc>
          <w:tcPr>
            <w:tcW w:w="9648" w:type="dxa"/>
            <w:gridSpan w:val="3"/>
            <w:shd w:val="clear" w:color="auto" w:fill="D9D9D9"/>
          </w:tcPr>
          <w:p w14:paraId="18929E78"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BUDYNKU</w:t>
            </w:r>
          </w:p>
          <w:p w14:paraId="4BD626C1"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r>
      <w:tr w:rsidR="00D37604" w:rsidRPr="00EA1C22" w14:paraId="5ACEC67A" w14:textId="77777777" w:rsidTr="00AA531E">
        <w:trPr>
          <w:trHeight w:val="390"/>
        </w:trPr>
        <w:tc>
          <w:tcPr>
            <w:tcW w:w="2405" w:type="dxa"/>
            <w:shd w:val="clear" w:color="auto" w:fill="F3F3F3"/>
          </w:tcPr>
          <w:p w14:paraId="29D10034"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jest pozwolenie na budowę</w:t>
            </w:r>
            <w:r w:rsidRPr="00EA1C22">
              <w:rPr>
                <w:rFonts w:ascii="Times New Roman" w:eastAsia="Times New Roman" w:hAnsi="Times New Roman" w:cs="Times New Roman"/>
                <w:sz w:val="20"/>
                <w:szCs w:val="20"/>
              </w:rPr>
              <w:br/>
            </w:r>
          </w:p>
        </w:tc>
        <w:tc>
          <w:tcPr>
            <w:tcW w:w="2126" w:type="dxa"/>
            <w:vAlign w:val="center"/>
          </w:tcPr>
          <w:p w14:paraId="5201A4E1" w14:textId="77777777" w:rsidR="00D37604" w:rsidRPr="00EA1C22" w:rsidRDefault="00D37604" w:rsidP="00D37604">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tak</w:t>
            </w:r>
            <w:r w:rsidRPr="00EA1C22">
              <w:rPr>
                <w:rFonts w:ascii="Times New Roman" w:eastAsia="Times New Roman" w:hAnsi="Times New Roman" w:cs="Times New Roman"/>
                <w:sz w:val="20"/>
                <w:szCs w:val="20"/>
                <w:vertAlign w:val="superscript"/>
              </w:rPr>
              <w:footnoteReference w:customMarkFollows="1" w:id="7"/>
              <w:t>*</w:t>
            </w:r>
          </w:p>
        </w:tc>
        <w:tc>
          <w:tcPr>
            <w:tcW w:w="5117" w:type="dxa"/>
            <w:vAlign w:val="center"/>
          </w:tcPr>
          <w:p w14:paraId="241F2B59" w14:textId="77777777" w:rsidR="00D37604" w:rsidRPr="00EA1C22" w:rsidRDefault="00D37604" w:rsidP="00D37604">
            <w:pPr>
              <w:spacing w:beforeLines="60" w:before="144" w:afterLines="60" w:after="144" w:line="240" w:lineRule="auto"/>
              <w:jc w:val="center"/>
              <w:rPr>
                <w:rFonts w:ascii="Times New Roman" w:eastAsia="Times New Roman" w:hAnsi="Times New Roman" w:cs="Times New Roman"/>
                <w:sz w:val="20"/>
                <w:szCs w:val="20"/>
              </w:rPr>
            </w:pPr>
            <w:r w:rsidRPr="008C7B0E">
              <w:rPr>
                <w:rFonts w:ascii="Times New Roman" w:eastAsia="Times New Roman" w:hAnsi="Times New Roman" w:cs="Times New Roman"/>
                <w:strike/>
                <w:sz w:val="20"/>
                <w:szCs w:val="20"/>
              </w:rPr>
              <w:t>nie</w:t>
            </w:r>
            <w:r w:rsidRPr="00EA1C22">
              <w:rPr>
                <w:rFonts w:ascii="Times New Roman" w:eastAsia="Times New Roman" w:hAnsi="Times New Roman" w:cs="Times New Roman"/>
                <w:sz w:val="20"/>
                <w:szCs w:val="20"/>
              </w:rPr>
              <w:t>*</w:t>
            </w:r>
          </w:p>
        </w:tc>
      </w:tr>
      <w:tr w:rsidR="00D37604" w:rsidRPr="00EA1C22" w14:paraId="13248ED2" w14:textId="77777777" w:rsidTr="00AA531E">
        <w:trPr>
          <w:trHeight w:val="390"/>
        </w:trPr>
        <w:tc>
          <w:tcPr>
            <w:tcW w:w="2405" w:type="dxa"/>
            <w:shd w:val="clear" w:color="auto" w:fill="F3F3F3"/>
          </w:tcPr>
          <w:p w14:paraId="49A12BA8"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ostateczne</w:t>
            </w:r>
          </w:p>
        </w:tc>
        <w:tc>
          <w:tcPr>
            <w:tcW w:w="2126" w:type="dxa"/>
            <w:vAlign w:val="center"/>
          </w:tcPr>
          <w:p w14:paraId="4714B71B" w14:textId="77777777" w:rsidR="00D37604" w:rsidRPr="00EA1C22" w:rsidRDefault="00D37604" w:rsidP="00D37604">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tak*</w:t>
            </w:r>
          </w:p>
        </w:tc>
        <w:tc>
          <w:tcPr>
            <w:tcW w:w="5117" w:type="dxa"/>
            <w:vAlign w:val="center"/>
          </w:tcPr>
          <w:p w14:paraId="00C14FF1" w14:textId="77777777" w:rsidR="00D37604" w:rsidRPr="00EA1C22" w:rsidRDefault="00D37604" w:rsidP="00D37604">
            <w:pPr>
              <w:spacing w:beforeLines="60" w:before="144" w:afterLines="60" w:after="144" w:line="240" w:lineRule="auto"/>
              <w:jc w:val="center"/>
              <w:rPr>
                <w:rFonts w:ascii="Times New Roman" w:eastAsia="Times New Roman" w:hAnsi="Times New Roman" w:cs="Times New Roman"/>
                <w:sz w:val="20"/>
                <w:szCs w:val="20"/>
              </w:rPr>
            </w:pPr>
            <w:r w:rsidRPr="008C7B0E">
              <w:rPr>
                <w:rFonts w:ascii="Times New Roman" w:eastAsia="Times New Roman" w:hAnsi="Times New Roman" w:cs="Times New Roman"/>
                <w:strike/>
                <w:sz w:val="20"/>
                <w:szCs w:val="20"/>
              </w:rPr>
              <w:t>nie</w:t>
            </w:r>
            <w:r w:rsidRPr="00EA1C22">
              <w:rPr>
                <w:rFonts w:ascii="Times New Roman" w:eastAsia="Times New Roman" w:hAnsi="Times New Roman" w:cs="Times New Roman"/>
                <w:sz w:val="20"/>
                <w:szCs w:val="20"/>
              </w:rPr>
              <w:t>*</w:t>
            </w:r>
          </w:p>
        </w:tc>
      </w:tr>
      <w:tr w:rsidR="00D37604" w:rsidRPr="00EA1C22" w14:paraId="7858DCA5" w14:textId="77777777" w:rsidTr="00AA531E">
        <w:trPr>
          <w:trHeight w:val="390"/>
        </w:trPr>
        <w:tc>
          <w:tcPr>
            <w:tcW w:w="2405" w:type="dxa"/>
            <w:shd w:val="clear" w:color="auto" w:fill="F3F3F3"/>
          </w:tcPr>
          <w:p w14:paraId="7C87BF97"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zaskarżone</w:t>
            </w:r>
          </w:p>
        </w:tc>
        <w:tc>
          <w:tcPr>
            <w:tcW w:w="2126" w:type="dxa"/>
            <w:vAlign w:val="center"/>
          </w:tcPr>
          <w:p w14:paraId="7ECDFD20" w14:textId="77777777" w:rsidR="00D37604" w:rsidRPr="00EA1C22" w:rsidRDefault="00D37604" w:rsidP="00D37604">
            <w:pPr>
              <w:spacing w:beforeLines="60" w:before="144" w:afterLines="60" w:after="144" w:line="240" w:lineRule="auto"/>
              <w:jc w:val="center"/>
              <w:rPr>
                <w:rFonts w:ascii="Times New Roman" w:eastAsia="Times New Roman" w:hAnsi="Times New Roman" w:cs="Times New Roman"/>
                <w:sz w:val="20"/>
                <w:szCs w:val="20"/>
              </w:rPr>
            </w:pPr>
            <w:r w:rsidRPr="008C7B0E">
              <w:rPr>
                <w:rFonts w:ascii="Times New Roman" w:eastAsia="Times New Roman" w:hAnsi="Times New Roman" w:cs="Times New Roman"/>
                <w:strike/>
                <w:sz w:val="20"/>
                <w:szCs w:val="20"/>
              </w:rPr>
              <w:t>tak</w:t>
            </w:r>
            <w:r w:rsidRPr="00EA1C22">
              <w:rPr>
                <w:rFonts w:ascii="Times New Roman" w:eastAsia="Times New Roman" w:hAnsi="Times New Roman" w:cs="Times New Roman"/>
                <w:sz w:val="20"/>
                <w:szCs w:val="20"/>
              </w:rPr>
              <w:t>*</w:t>
            </w:r>
          </w:p>
        </w:tc>
        <w:tc>
          <w:tcPr>
            <w:tcW w:w="5117" w:type="dxa"/>
            <w:vAlign w:val="center"/>
          </w:tcPr>
          <w:p w14:paraId="3F74A132" w14:textId="77777777" w:rsidR="00D37604" w:rsidRPr="00EA1C22" w:rsidRDefault="00D37604" w:rsidP="00D37604">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nie*</w:t>
            </w:r>
          </w:p>
        </w:tc>
      </w:tr>
      <w:tr w:rsidR="00D37604" w:rsidRPr="00EA1C22" w14:paraId="028D214E" w14:textId="77777777" w:rsidTr="00AA531E">
        <w:trPr>
          <w:trHeight w:val="195"/>
        </w:trPr>
        <w:tc>
          <w:tcPr>
            <w:tcW w:w="2405" w:type="dxa"/>
            <w:shd w:val="clear" w:color="auto" w:fill="F3F3F3"/>
          </w:tcPr>
          <w:p w14:paraId="04158BD9"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pozwolenia na budowę oraz nazwa organu, który je wydał</w:t>
            </w:r>
          </w:p>
        </w:tc>
        <w:tc>
          <w:tcPr>
            <w:tcW w:w="7243" w:type="dxa"/>
            <w:gridSpan w:val="2"/>
          </w:tcPr>
          <w:p w14:paraId="49A2B882" w14:textId="79CC2C63" w:rsidR="00D37604" w:rsidRPr="00E82A83" w:rsidRDefault="009E7F8F" w:rsidP="00D37604">
            <w:pPr>
              <w:spacing w:beforeLines="60" w:before="144" w:afterLines="60" w:after="144" w:line="240" w:lineRule="auto"/>
              <w:jc w:val="both"/>
              <w:rPr>
                <w:rFonts w:ascii="Times New Roman" w:eastAsia="Times New Roman" w:hAnsi="Times New Roman" w:cs="Times New Roman"/>
                <w:sz w:val="18"/>
                <w:szCs w:val="18"/>
              </w:rPr>
            </w:pPr>
            <w:r w:rsidRPr="00E82A83">
              <w:rPr>
                <w:rFonts w:ascii="Times New Roman" w:eastAsia="Times New Roman" w:hAnsi="Times New Roman" w:cs="Times New Roman"/>
                <w:sz w:val="18"/>
                <w:szCs w:val="18"/>
              </w:rPr>
              <w:t xml:space="preserve">Decyzja wydana przez </w:t>
            </w:r>
            <w:r w:rsidR="00A86DDC">
              <w:rPr>
                <w:rFonts w:ascii="Times New Roman" w:eastAsia="Times New Roman" w:hAnsi="Times New Roman" w:cs="Times New Roman"/>
                <w:sz w:val="18"/>
                <w:szCs w:val="18"/>
              </w:rPr>
              <w:t>Starostę Powiatu</w:t>
            </w:r>
            <w:r w:rsidRPr="00E82A83">
              <w:rPr>
                <w:rFonts w:ascii="Times New Roman" w:eastAsia="Times New Roman" w:hAnsi="Times New Roman" w:cs="Times New Roman"/>
                <w:sz w:val="18"/>
                <w:szCs w:val="18"/>
              </w:rPr>
              <w:t xml:space="preserve"> Białegostoku tj.: decyzja z dnia </w:t>
            </w:r>
            <w:r w:rsidR="00A86DDC">
              <w:rPr>
                <w:rFonts w:ascii="Times New Roman" w:eastAsia="Times New Roman" w:hAnsi="Times New Roman" w:cs="Times New Roman"/>
                <w:sz w:val="18"/>
                <w:szCs w:val="18"/>
              </w:rPr>
              <w:t>09.04.2025</w:t>
            </w:r>
            <w:r w:rsidRPr="00E82A83">
              <w:rPr>
                <w:rFonts w:ascii="Times New Roman" w:eastAsia="Times New Roman" w:hAnsi="Times New Roman" w:cs="Times New Roman"/>
                <w:sz w:val="18"/>
                <w:szCs w:val="18"/>
              </w:rPr>
              <w:t xml:space="preserve"> r. nr </w:t>
            </w:r>
            <w:r w:rsidR="00A86DDC">
              <w:rPr>
                <w:rFonts w:ascii="Times New Roman" w:eastAsia="Times New Roman" w:hAnsi="Times New Roman" w:cs="Times New Roman"/>
                <w:sz w:val="18"/>
                <w:szCs w:val="18"/>
              </w:rPr>
              <w:t xml:space="preserve">415 </w:t>
            </w:r>
            <w:r w:rsidRPr="00E82A83">
              <w:rPr>
                <w:rFonts w:ascii="Times New Roman" w:eastAsia="Times New Roman" w:hAnsi="Times New Roman" w:cs="Times New Roman"/>
                <w:sz w:val="18"/>
                <w:szCs w:val="18"/>
              </w:rPr>
              <w:t xml:space="preserve">znak: </w:t>
            </w:r>
            <w:r w:rsidR="00A86DDC">
              <w:rPr>
                <w:rFonts w:ascii="Times New Roman" w:eastAsia="Times New Roman" w:hAnsi="Times New Roman" w:cs="Times New Roman"/>
                <w:sz w:val="18"/>
                <w:szCs w:val="18"/>
              </w:rPr>
              <w:t>AR.6740.1.9.151.2024</w:t>
            </w:r>
            <w:r w:rsidRPr="00E82A83">
              <w:rPr>
                <w:rFonts w:ascii="Times New Roman" w:eastAsia="Times New Roman" w:hAnsi="Times New Roman" w:cs="Times New Roman"/>
                <w:sz w:val="18"/>
                <w:szCs w:val="18"/>
              </w:rPr>
              <w:t xml:space="preserve"> zatwierdzająca projekt budowlany i udzielająca </w:t>
            </w:r>
            <w:r w:rsidR="00A2545C">
              <w:rPr>
                <w:rFonts w:ascii="Times New Roman" w:eastAsia="Times New Roman" w:hAnsi="Times New Roman" w:cs="Times New Roman"/>
                <w:sz w:val="18"/>
                <w:szCs w:val="18"/>
              </w:rPr>
              <w:t xml:space="preserve">Pani Urszuli </w:t>
            </w:r>
            <w:proofErr w:type="spellStart"/>
            <w:r w:rsidR="00A2545C">
              <w:rPr>
                <w:rFonts w:ascii="Times New Roman" w:eastAsia="Times New Roman" w:hAnsi="Times New Roman" w:cs="Times New Roman"/>
                <w:sz w:val="18"/>
                <w:szCs w:val="18"/>
              </w:rPr>
              <w:t>Roszczenko</w:t>
            </w:r>
            <w:proofErr w:type="spellEnd"/>
            <w:r w:rsidRPr="00E82A83">
              <w:rPr>
                <w:rFonts w:ascii="Times New Roman" w:eastAsia="Times New Roman" w:hAnsi="Times New Roman" w:cs="Times New Roman"/>
                <w:sz w:val="18"/>
                <w:szCs w:val="18"/>
              </w:rPr>
              <w:t xml:space="preserve"> pozwolenia na budowę </w:t>
            </w:r>
            <w:r w:rsidR="00A2545C">
              <w:rPr>
                <w:rFonts w:ascii="Times New Roman" w:eastAsia="Times New Roman" w:hAnsi="Times New Roman" w:cs="Times New Roman"/>
                <w:sz w:val="18"/>
                <w:szCs w:val="18"/>
              </w:rPr>
              <w:t>6</w:t>
            </w:r>
            <w:r w:rsidR="001B61F6" w:rsidRPr="00E82A83">
              <w:rPr>
                <w:rFonts w:ascii="Times New Roman" w:eastAsia="Times New Roman" w:hAnsi="Times New Roman" w:cs="Times New Roman"/>
                <w:sz w:val="18"/>
                <w:szCs w:val="18"/>
              </w:rPr>
              <w:t xml:space="preserve"> </w:t>
            </w:r>
            <w:r w:rsidRPr="00E82A83">
              <w:rPr>
                <w:rFonts w:ascii="Times New Roman" w:eastAsia="Times New Roman" w:hAnsi="Times New Roman" w:cs="Times New Roman"/>
                <w:sz w:val="18"/>
                <w:szCs w:val="18"/>
              </w:rPr>
              <w:t>budynk</w:t>
            </w:r>
            <w:r w:rsidR="001B61F6" w:rsidRPr="00E82A83">
              <w:rPr>
                <w:rFonts w:ascii="Times New Roman" w:eastAsia="Times New Roman" w:hAnsi="Times New Roman" w:cs="Times New Roman"/>
                <w:sz w:val="18"/>
                <w:szCs w:val="18"/>
              </w:rPr>
              <w:t xml:space="preserve">ów mieszkalnych jednorodzinnych w zabudowie </w:t>
            </w:r>
            <w:r w:rsidR="00A2545C">
              <w:rPr>
                <w:rFonts w:ascii="Times New Roman" w:eastAsia="Times New Roman" w:hAnsi="Times New Roman" w:cs="Times New Roman"/>
                <w:sz w:val="18"/>
                <w:szCs w:val="18"/>
              </w:rPr>
              <w:t xml:space="preserve">bliźniaczej oraz 1 wolnostojący budynek mieszkalno-usługowy (handel – sklep spożywczy) na części działki 113/12 w obrębie </w:t>
            </w:r>
            <w:proofErr w:type="spellStart"/>
            <w:r w:rsidR="00A2545C">
              <w:rPr>
                <w:rFonts w:ascii="Times New Roman" w:eastAsia="Times New Roman" w:hAnsi="Times New Roman" w:cs="Times New Roman"/>
                <w:sz w:val="18"/>
                <w:szCs w:val="18"/>
              </w:rPr>
              <w:t>ewid</w:t>
            </w:r>
            <w:proofErr w:type="spellEnd"/>
            <w:r w:rsidR="00A2545C">
              <w:rPr>
                <w:rFonts w:ascii="Times New Roman" w:eastAsia="Times New Roman" w:hAnsi="Times New Roman" w:cs="Times New Roman"/>
                <w:sz w:val="18"/>
                <w:szCs w:val="18"/>
              </w:rPr>
              <w:t xml:space="preserve">. Grabówka, jedn. </w:t>
            </w:r>
            <w:proofErr w:type="spellStart"/>
            <w:r w:rsidR="00A2545C">
              <w:rPr>
                <w:rFonts w:ascii="Times New Roman" w:eastAsia="Times New Roman" w:hAnsi="Times New Roman" w:cs="Times New Roman"/>
                <w:sz w:val="18"/>
                <w:szCs w:val="18"/>
              </w:rPr>
              <w:t>ewid</w:t>
            </w:r>
            <w:proofErr w:type="spellEnd"/>
            <w:r w:rsidR="00A2545C">
              <w:rPr>
                <w:rFonts w:ascii="Times New Roman" w:eastAsia="Times New Roman" w:hAnsi="Times New Roman" w:cs="Times New Roman"/>
                <w:sz w:val="18"/>
                <w:szCs w:val="18"/>
              </w:rPr>
              <w:t>. Grabówka</w:t>
            </w:r>
            <w:r w:rsidR="001B61F6" w:rsidRPr="00E82A83">
              <w:rPr>
                <w:rFonts w:ascii="Times New Roman" w:eastAsia="Times New Roman" w:hAnsi="Times New Roman" w:cs="Times New Roman"/>
                <w:sz w:val="18"/>
                <w:szCs w:val="18"/>
              </w:rPr>
              <w:t xml:space="preserve"> </w:t>
            </w:r>
            <w:r w:rsidR="00A2545C">
              <w:rPr>
                <w:rFonts w:ascii="Times New Roman" w:eastAsia="Times New Roman" w:hAnsi="Times New Roman" w:cs="Times New Roman"/>
                <w:sz w:val="18"/>
                <w:szCs w:val="18"/>
              </w:rPr>
              <w:t xml:space="preserve">(przed podziałem jedn. </w:t>
            </w:r>
            <w:proofErr w:type="spellStart"/>
            <w:r w:rsidR="00A2545C">
              <w:rPr>
                <w:rFonts w:ascii="Times New Roman" w:eastAsia="Times New Roman" w:hAnsi="Times New Roman" w:cs="Times New Roman"/>
                <w:sz w:val="18"/>
                <w:szCs w:val="18"/>
              </w:rPr>
              <w:t>ewid</w:t>
            </w:r>
            <w:proofErr w:type="spellEnd"/>
            <w:r w:rsidR="00A2545C">
              <w:rPr>
                <w:rFonts w:ascii="Times New Roman" w:eastAsia="Times New Roman" w:hAnsi="Times New Roman" w:cs="Times New Roman"/>
                <w:sz w:val="18"/>
                <w:szCs w:val="18"/>
              </w:rPr>
              <w:t>. Supraśl), zabudowa mieszkaniowa jednorodzinna i zabudowa usługowa.</w:t>
            </w:r>
          </w:p>
        </w:tc>
      </w:tr>
      <w:tr w:rsidR="00D37604" w:rsidRPr="00EA1C22" w14:paraId="195A4C2E" w14:textId="77777777" w:rsidTr="00AA531E">
        <w:trPr>
          <w:trHeight w:val="195"/>
        </w:trPr>
        <w:tc>
          <w:tcPr>
            <w:tcW w:w="2405" w:type="dxa"/>
            <w:shd w:val="clear" w:color="auto" w:fill="F3F3F3"/>
          </w:tcPr>
          <w:p w14:paraId="7B436B26" w14:textId="77777777" w:rsidR="00D37604" w:rsidRPr="00EA1C22" w:rsidRDefault="00D37604" w:rsidP="0073603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Data uprawomocnienia się decyzji o pozwoleniu na użytkowanie budynku</w:t>
            </w:r>
          </w:p>
        </w:tc>
        <w:tc>
          <w:tcPr>
            <w:tcW w:w="7243" w:type="dxa"/>
            <w:gridSpan w:val="2"/>
          </w:tcPr>
          <w:p w14:paraId="64728B63" w14:textId="401A1145" w:rsidR="00D37604" w:rsidRPr="00E82A83" w:rsidRDefault="00780A60"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Nie dotyczy</w:t>
            </w:r>
          </w:p>
        </w:tc>
      </w:tr>
      <w:tr w:rsidR="00D37604" w:rsidRPr="00EA1C22" w14:paraId="1225E51C" w14:textId="77777777" w:rsidTr="00AA531E">
        <w:trPr>
          <w:trHeight w:val="195"/>
        </w:trPr>
        <w:tc>
          <w:tcPr>
            <w:tcW w:w="2405" w:type="dxa"/>
            <w:shd w:val="clear" w:color="auto" w:fill="F3F3F3"/>
          </w:tcPr>
          <w:p w14:paraId="382933D0" w14:textId="77777777" w:rsidR="00D37604" w:rsidRPr="00EA1C22" w:rsidRDefault="00D37604" w:rsidP="0073603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zakończenia budowy domu jednorodzinnego </w:t>
            </w:r>
          </w:p>
        </w:tc>
        <w:tc>
          <w:tcPr>
            <w:tcW w:w="7243" w:type="dxa"/>
            <w:gridSpan w:val="2"/>
          </w:tcPr>
          <w:p w14:paraId="1FB587C2" w14:textId="0069814D" w:rsidR="00D37604" w:rsidRPr="00E82A83" w:rsidRDefault="004E3F9A" w:rsidP="00D37604">
            <w:pPr>
              <w:spacing w:beforeLines="60" w:before="144" w:afterLines="60" w:after="144" w:line="240" w:lineRule="auto"/>
              <w:jc w:val="both"/>
              <w:rPr>
                <w:rFonts w:ascii="Times New Roman" w:eastAsia="Times New Roman" w:hAnsi="Times New Roman" w:cs="Times New Roman"/>
                <w:sz w:val="18"/>
                <w:szCs w:val="18"/>
              </w:rPr>
            </w:pPr>
            <w:r w:rsidRPr="00E82A83">
              <w:rPr>
                <w:rFonts w:ascii="Times New Roman" w:eastAsia="Times New Roman" w:hAnsi="Times New Roman" w:cs="Times New Roman"/>
                <w:sz w:val="18"/>
                <w:szCs w:val="18"/>
              </w:rPr>
              <w:t>Nie dotyczy</w:t>
            </w:r>
          </w:p>
        </w:tc>
      </w:tr>
      <w:tr w:rsidR="00D37604" w:rsidRPr="00EA1C22" w14:paraId="5C7536E9" w14:textId="77777777" w:rsidTr="00AA531E">
        <w:trPr>
          <w:trHeight w:val="195"/>
        </w:trPr>
        <w:tc>
          <w:tcPr>
            <w:tcW w:w="2405" w:type="dxa"/>
            <w:shd w:val="clear" w:color="auto" w:fill="F3F3F3"/>
          </w:tcPr>
          <w:p w14:paraId="52D32F86" w14:textId="77777777" w:rsidR="00D37604" w:rsidRPr="00EA1C22" w:rsidRDefault="00D37604" w:rsidP="0073603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Planowany termin rozpoczęcia i zakończenia robót budowlanych</w:t>
            </w:r>
          </w:p>
        </w:tc>
        <w:tc>
          <w:tcPr>
            <w:tcW w:w="7243" w:type="dxa"/>
            <w:gridSpan w:val="2"/>
          </w:tcPr>
          <w:p w14:paraId="0D5B8318" w14:textId="05DAF602" w:rsidR="00D37604" w:rsidRPr="00D47BA8" w:rsidRDefault="004E3F9A" w:rsidP="00D37604">
            <w:pPr>
              <w:spacing w:beforeLines="60" w:before="144" w:afterLines="60" w:after="144" w:line="240" w:lineRule="auto"/>
              <w:jc w:val="both"/>
              <w:rPr>
                <w:rFonts w:ascii="Times New Roman" w:eastAsia="Times New Roman" w:hAnsi="Times New Roman" w:cs="Times New Roman"/>
                <w:sz w:val="18"/>
                <w:szCs w:val="18"/>
              </w:rPr>
            </w:pPr>
            <w:r w:rsidRPr="00D47BA8">
              <w:rPr>
                <w:rFonts w:ascii="Times New Roman" w:eastAsia="Times New Roman" w:hAnsi="Times New Roman" w:cs="Times New Roman"/>
                <w:sz w:val="18"/>
                <w:szCs w:val="18"/>
              </w:rPr>
              <w:t xml:space="preserve">Rozpoczęcie: </w:t>
            </w:r>
            <w:r w:rsidR="00B0230E" w:rsidRPr="00D47BA8">
              <w:rPr>
                <w:rFonts w:ascii="Times New Roman" w:eastAsia="Times New Roman" w:hAnsi="Times New Roman" w:cs="Times New Roman"/>
                <w:sz w:val="18"/>
                <w:szCs w:val="18"/>
              </w:rPr>
              <w:t>16.07.2025 r.</w:t>
            </w:r>
          </w:p>
          <w:p w14:paraId="0AD3050B" w14:textId="5633406D" w:rsidR="004E3F9A" w:rsidRPr="00E82A83" w:rsidRDefault="004E3F9A" w:rsidP="00D37604">
            <w:pPr>
              <w:spacing w:beforeLines="60" w:before="144" w:afterLines="60" w:after="144" w:line="240" w:lineRule="auto"/>
              <w:jc w:val="both"/>
              <w:rPr>
                <w:rFonts w:ascii="Times New Roman" w:eastAsia="Times New Roman" w:hAnsi="Times New Roman" w:cs="Times New Roman"/>
                <w:sz w:val="18"/>
                <w:szCs w:val="18"/>
              </w:rPr>
            </w:pPr>
            <w:r w:rsidRPr="00D47BA8">
              <w:rPr>
                <w:rFonts w:ascii="Times New Roman" w:eastAsia="Times New Roman" w:hAnsi="Times New Roman" w:cs="Times New Roman"/>
                <w:sz w:val="18"/>
                <w:szCs w:val="18"/>
              </w:rPr>
              <w:t xml:space="preserve">Zakończenie: </w:t>
            </w:r>
            <w:r w:rsidR="00D47BA8" w:rsidRPr="00D47BA8">
              <w:rPr>
                <w:rFonts w:ascii="Times New Roman" w:eastAsia="Times New Roman" w:hAnsi="Times New Roman" w:cs="Times New Roman"/>
                <w:sz w:val="18"/>
                <w:szCs w:val="18"/>
              </w:rPr>
              <w:t>30.09.2026</w:t>
            </w:r>
            <w:r w:rsidR="00D47BA8">
              <w:rPr>
                <w:rFonts w:ascii="Times New Roman" w:eastAsia="Times New Roman" w:hAnsi="Times New Roman" w:cs="Times New Roman"/>
                <w:sz w:val="18"/>
                <w:szCs w:val="18"/>
              </w:rPr>
              <w:t xml:space="preserve"> r.</w:t>
            </w:r>
          </w:p>
        </w:tc>
      </w:tr>
      <w:tr w:rsidR="00D37604" w:rsidRPr="00EA1C22" w14:paraId="0EA7CB6F" w14:textId="77777777" w:rsidTr="00AA531E">
        <w:trPr>
          <w:trHeight w:val="325"/>
        </w:trPr>
        <w:tc>
          <w:tcPr>
            <w:tcW w:w="2405" w:type="dxa"/>
            <w:vMerge w:val="restart"/>
            <w:shd w:val="clear" w:color="auto" w:fill="F3F3F3"/>
          </w:tcPr>
          <w:p w14:paraId="17C8602A" w14:textId="77777777" w:rsidR="00D37604" w:rsidRPr="00EA1C22" w:rsidRDefault="00D37604" w:rsidP="00736036">
            <w:pPr>
              <w:spacing w:beforeLines="60" w:before="144" w:afterLines="60" w:after="144" w:line="240" w:lineRule="auto"/>
              <w:rPr>
                <w:rFonts w:ascii="Times New Roman" w:eastAsia="Times New Roman" w:hAnsi="Times New Roman" w:cs="Times New Roman"/>
                <w:sz w:val="20"/>
                <w:szCs w:val="20"/>
              </w:rPr>
            </w:pPr>
          </w:p>
          <w:p w14:paraId="7D1DE4B9" w14:textId="77777777" w:rsidR="00D37604" w:rsidRPr="00EA1C22" w:rsidRDefault="00D37604" w:rsidP="00736036">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Opis przedsięwzięcia deweloperskiego albo zadania inwestycyjnego</w:t>
            </w:r>
          </w:p>
          <w:p w14:paraId="7EDC999F" w14:textId="77777777" w:rsidR="00D37604" w:rsidRPr="00EA1C22" w:rsidRDefault="00D37604" w:rsidP="00736036">
            <w:pPr>
              <w:spacing w:beforeLines="60" w:before="144" w:afterLines="60" w:after="144" w:line="240" w:lineRule="auto"/>
              <w:rPr>
                <w:rFonts w:ascii="Times New Roman" w:eastAsia="Times New Roman" w:hAnsi="Times New Roman" w:cs="Times New Roman"/>
                <w:sz w:val="20"/>
                <w:szCs w:val="20"/>
              </w:rPr>
            </w:pPr>
          </w:p>
        </w:tc>
        <w:tc>
          <w:tcPr>
            <w:tcW w:w="2126" w:type="dxa"/>
          </w:tcPr>
          <w:p w14:paraId="6FFE51E2" w14:textId="77777777" w:rsidR="00D37604" w:rsidRPr="00E82A83" w:rsidRDefault="00D37604" w:rsidP="00D37604">
            <w:pPr>
              <w:spacing w:beforeLines="60" w:before="144" w:afterLines="60" w:after="144" w:line="240" w:lineRule="auto"/>
              <w:jc w:val="both"/>
              <w:rPr>
                <w:rFonts w:ascii="Times New Roman" w:eastAsia="Times New Roman" w:hAnsi="Times New Roman" w:cs="Times New Roman"/>
                <w:sz w:val="18"/>
                <w:szCs w:val="18"/>
              </w:rPr>
            </w:pPr>
            <w:r w:rsidRPr="00E82A83">
              <w:rPr>
                <w:rFonts w:ascii="Times New Roman" w:eastAsia="Times New Roman" w:hAnsi="Times New Roman" w:cs="Times New Roman"/>
                <w:sz w:val="18"/>
                <w:szCs w:val="18"/>
              </w:rPr>
              <w:t xml:space="preserve">Liczba budynków </w:t>
            </w:r>
          </w:p>
        </w:tc>
        <w:tc>
          <w:tcPr>
            <w:tcW w:w="5117" w:type="dxa"/>
          </w:tcPr>
          <w:p w14:paraId="0A984550" w14:textId="2673ACC8" w:rsidR="00D37604" w:rsidRPr="00E82A83" w:rsidRDefault="00B0230E" w:rsidP="00D37604">
            <w:pPr>
              <w:spacing w:beforeLines="60" w:before="144" w:afterLines="60" w:after="144"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r>
      <w:tr w:rsidR="00D37604" w:rsidRPr="00EA1C22" w14:paraId="6756E311" w14:textId="77777777" w:rsidTr="00AA531E">
        <w:trPr>
          <w:trHeight w:val="325"/>
        </w:trPr>
        <w:tc>
          <w:tcPr>
            <w:tcW w:w="2405" w:type="dxa"/>
            <w:vMerge/>
            <w:shd w:val="clear" w:color="auto" w:fill="F3F3F3"/>
          </w:tcPr>
          <w:p w14:paraId="56340BBC"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25B2FDCB" w14:textId="77777777" w:rsidR="00D37604" w:rsidRPr="00E82A83" w:rsidRDefault="00D37604" w:rsidP="00D37604">
            <w:pPr>
              <w:spacing w:beforeLines="60" w:before="144" w:afterLines="60" w:after="144" w:line="240" w:lineRule="auto"/>
              <w:jc w:val="both"/>
              <w:rPr>
                <w:rFonts w:ascii="Times New Roman" w:eastAsia="Times New Roman" w:hAnsi="Times New Roman" w:cs="Times New Roman"/>
                <w:sz w:val="18"/>
                <w:szCs w:val="18"/>
              </w:rPr>
            </w:pPr>
            <w:r w:rsidRPr="00E82A83">
              <w:rPr>
                <w:rFonts w:ascii="Times New Roman" w:eastAsia="Times New Roman" w:hAnsi="Times New Roman" w:cs="Times New Roman"/>
                <w:sz w:val="18"/>
                <w:szCs w:val="18"/>
              </w:rPr>
              <w:t>Rozmieszczenie budynków na nieruchomości (należy podać minimalny odstęp między budynkami)</w:t>
            </w:r>
          </w:p>
        </w:tc>
        <w:tc>
          <w:tcPr>
            <w:tcW w:w="5117" w:type="dxa"/>
          </w:tcPr>
          <w:p w14:paraId="24B9613A" w14:textId="778E3092" w:rsidR="004E3F9A" w:rsidRPr="00D47BA8" w:rsidRDefault="004E3F9A" w:rsidP="004E3F9A">
            <w:pPr>
              <w:spacing w:beforeLines="60" w:before="144" w:afterLines="60" w:after="144" w:line="240" w:lineRule="auto"/>
              <w:jc w:val="both"/>
              <w:rPr>
                <w:rFonts w:ascii="Times New Roman" w:eastAsia="Times New Roman" w:hAnsi="Times New Roman" w:cs="Times New Roman"/>
                <w:sz w:val="18"/>
                <w:szCs w:val="18"/>
              </w:rPr>
            </w:pPr>
            <w:r w:rsidRPr="00D47BA8">
              <w:rPr>
                <w:rFonts w:ascii="Times New Roman" w:eastAsia="Times New Roman" w:hAnsi="Times New Roman" w:cs="Times New Roman"/>
                <w:sz w:val="18"/>
                <w:szCs w:val="18"/>
              </w:rPr>
              <w:t>Przedsięwzięcie deweloperskie obejmować będzie zadanie inwestycyjne polegające na budowie</w:t>
            </w:r>
            <w:r w:rsidR="00D47BA8" w:rsidRPr="00D47BA8">
              <w:rPr>
                <w:rFonts w:ascii="Times New Roman" w:eastAsia="Times New Roman" w:hAnsi="Times New Roman" w:cs="Times New Roman"/>
                <w:sz w:val="18"/>
                <w:szCs w:val="18"/>
              </w:rPr>
              <w:t xml:space="preserve"> 6 </w:t>
            </w:r>
            <w:r w:rsidRPr="00D47BA8">
              <w:rPr>
                <w:rFonts w:ascii="Times New Roman" w:eastAsia="Times New Roman" w:hAnsi="Times New Roman" w:cs="Times New Roman"/>
                <w:sz w:val="18"/>
                <w:szCs w:val="18"/>
              </w:rPr>
              <w:t xml:space="preserve">budynków mieszkalnych jednorodzinnych w zabudowie </w:t>
            </w:r>
            <w:r w:rsidR="00D47BA8" w:rsidRPr="00D47BA8">
              <w:rPr>
                <w:rFonts w:ascii="Times New Roman" w:eastAsia="Times New Roman" w:hAnsi="Times New Roman" w:cs="Times New Roman"/>
                <w:sz w:val="18"/>
                <w:szCs w:val="18"/>
              </w:rPr>
              <w:t>bliźniaczej</w:t>
            </w:r>
            <w:r w:rsidRPr="00D47BA8">
              <w:rPr>
                <w:rFonts w:ascii="Times New Roman" w:eastAsia="Times New Roman" w:hAnsi="Times New Roman" w:cs="Times New Roman"/>
                <w:sz w:val="18"/>
                <w:szCs w:val="18"/>
              </w:rPr>
              <w:t xml:space="preserve"> zlokalizowanych w</w:t>
            </w:r>
            <w:r w:rsidR="00D47BA8">
              <w:rPr>
                <w:rFonts w:ascii="Times New Roman" w:eastAsia="Times New Roman" w:hAnsi="Times New Roman" w:cs="Times New Roman"/>
                <w:sz w:val="18"/>
                <w:szCs w:val="18"/>
              </w:rPr>
              <w:t> </w:t>
            </w:r>
            <w:r w:rsidRPr="00D47BA8">
              <w:rPr>
                <w:rFonts w:ascii="Times New Roman" w:eastAsia="Times New Roman" w:hAnsi="Times New Roman" w:cs="Times New Roman"/>
                <w:sz w:val="18"/>
                <w:szCs w:val="18"/>
              </w:rPr>
              <w:t xml:space="preserve">miejscowości </w:t>
            </w:r>
            <w:r w:rsidR="00D47BA8" w:rsidRPr="00D47BA8">
              <w:rPr>
                <w:rFonts w:ascii="Times New Roman" w:eastAsia="Times New Roman" w:hAnsi="Times New Roman" w:cs="Times New Roman"/>
                <w:sz w:val="18"/>
                <w:szCs w:val="18"/>
              </w:rPr>
              <w:t>Grabówka</w:t>
            </w:r>
            <w:r w:rsidRPr="00D47BA8">
              <w:rPr>
                <w:rFonts w:ascii="Times New Roman" w:eastAsia="Times New Roman" w:hAnsi="Times New Roman" w:cs="Times New Roman"/>
                <w:sz w:val="18"/>
                <w:szCs w:val="18"/>
              </w:rPr>
              <w:t xml:space="preserve">, gmina </w:t>
            </w:r>
            <w:r w:rsidR="00D47BA8" w:rsidRPr="00D47BA8">
              <w:rPr>
                <w:rFonts w:ascii="Times New Roman" w:eastAsia="Times New Roman" w:hAnsi="Times New Roman" w:cs="Times New Roman"/>
                <w:sz w:val="18"/>
                <w:szCs w:val="18"/>
              </w:rPr>
              <w:t>Grabówka</w:t>
            </w:r>
            <w:r w:rsidRPr="00D47BA8">
              <w:rPr>
                <w:rFonts w:ascii="Times New Roman" w:eastAsia="Times New Roman" w:hAnsi="Times New Roman" w:cs="Times New Roman"/>
                <w:sz w:val="18"/>
                <w:szCs w:val="18"/>
              </w:rPr>
              <w:t xml:space="preserve">, które realizowane będzie na działkach o numerach geodezyjnych </w:t>
            </w:r>
            <w:r w:rsidR="00D47BA8" w:rsidRPr="00D47BA8">
              <w:rPr>
                <w:rFonts w:ascii="Times New Roman" w:eastAsia="Times New Roman" w:hAnsi="Times New Roman" w:cs="Times New Roman"/>
                <w:sz w:val="18"/>
                <w:szCs w:val="18"/>
              </w:rPr>
              <w:t>113/173; 113/174; 113/175; 113/176; 113/177; 113/178; 113/179; 113/180</w:t>
            </w:r>
            <w:r w:rsidR="00D47BA8">
              <w:rPr>
                <w:rFonts w:ascii="Times New Roman" w:eastAsia="Times New Roman" w:hAnsi="Times New Roman" w:cs="Times New Roman"/>
                <w:sz w:val="18"/>
                <w:szCs w:val="18"/>
              </w:rPr>
              <w:t>.</w:t>
            </w:r>
          </w:p>
          <w:p w14:paraId="3092ED11" w14:textId="77777777" w:rsidR="004E3F9A" w:rsidRPr="00B0230E" w:rsidRDefault="004E3F9A" w:rsidP="004E3F9A">
            <w:pPr>
              <w:spacing w:beforeLines="60" w:before="144" w:afterLines="60" w:after="144" w:line="240" w:lineRule="auto"/>
              <w:jc w:val="both"/>
              <w:rPr>
                <w:rFonts w:ascii="Times New Roman" w:eastAsia="Times New Roman" w:hAnsi="Times New Roman" w:cs="Times New Roman"/>
                <w:color w:val="EE0000"/>
                <w:sz w:val="18"/>
                <w:szCs w:val="18"/>
              </w:rPr>
            </w:pPr>
          </w:p>
          <w:p w14:paraId="59C7C504" w14:textId="0A8878E7" w:rsidR="004E3F9A" w:rsidRPr="00D47BA8" w:rsidRDefault="004E3F9A" w:rsidP="004E3F9A">
            <w:pPr>
              <w:spacing w:beforeLines="60" w:before="144" w:afterLines="60" w:after="144" w:line="240" w:lineRule="auto"/>
              <w:jc w:val="both"/>
              <w:rPr>
                <w:rFonts w:ascii="Times New Roman" w:eastAsia="Times New Roman" w:hAnsi="Times New Roman" w:cs="Times New Roman"/>
                <w:b/>
                <w:bCs/>
                <w:sz w:val="18"/>
                <w:szCs w:val="18"/>
              </w:rPr>
            </w:pPr>
            <w:r w:rsidRPr="00D47BA8">
              <w:rPr>
                <w:rFonts w:ascii="Times New Roman" w:eastAsia="Times New Roman" w:hAnsi="Times New Roman" w:cs="Times New Roman"/>
                <w:b/>
                <w:bCs/>
                <w:sz w:val="18"/>
                <w:szCs w:val="18"/>
              </w:rPr>
              <w:t>Rachunek powierniczy OMPR nr I</w:t>
            </w:r>
          </w:p>
          <w:p w14:paraId="652C0DD6" w14:textId="238B99B6" w:rsidR="004E3F9A" w:rsidRPr="00B0230E" w:rsidRDefault="004E3F9A" w:rsidP="004E3F9A">
            <w:pPr>
              <w:spacing w:beforeLines="60" w:before="144" w:afterLines="60" w:after="144" w:line="240" w:lineRule="auto"/>
              <w:jc w:val="both"/>
              <w:rPr>
                <w:rFonts w:ascii="Times New Roman" w:eastAsia="Times New Roman" w:hAnsi="Times New Roman" w:cs="Times New Roman"/>
                <w:color w:val="EE0000"/>
                <w:sz w:val="18"/>
                <w:szCs w:val="18"/>
              </w:rPr>
            </w:pPr>
            <w:r w:rsidRPr="00D47BA8">
              <w:rPr>
                <w:rFonts w:ascii="Times New Roman" w:eastAsia="Times New Roman" w:hAnsi="Times New Roman" w:cs="Times New Roman"/>
                <w:sz w:val="18"/>
                <w:szCs w:val="18"/>
              </w:rPr>
              <w:t xml:space="preserve">Wybudowanie na działce o numerze geodezyjnym </w:t>
            </w:r>
            <w:r w:rsidR="00D47BA8" w:rsidRPr="00D47BA8">
              <w:rPr>
                <w:rFonts w:ascii="Times New Roman" w:eastAsia="Times New Roman" w:hAnsi="Times New Roman" w:cs="Times New Roman"/>
                <w:sz w:val="18"/>
                <w:szCs w:val="18"/>
              </w:rPr>
              <w:t>113/173</w:t>
            </w:r>
            <w:r w:rsidRPr="00D47BA8">
              <w:rPr>
                <w:rFonts w:ascii="Times New Roman" w:eastAsia="Times New Roman" w:hAnsi="Times New Roman" w:cs="Times New Roman"/>
                <w:sz w:val="18"/>
                <w:szCs w:val="18"/>
              </w:rPr>
              <w:t xml:space="preserve"> o projektowanej powierzchni </w:t>
            </w:r>
            <w:r w:rsidR="00D47BA8" w:rsidRPr="00D47BA8">
              <w:rPr>
                <w:rFonts w:ascii="Times New Roman" w:eastAsia="Times New Roman" w:hAnsi="Times New Roman" w:cs="Times New Roman"/>
                <w:sz w:val="18"/>
                <w:szCs w:val="18"/>
              </w:rPr>
              <w:t>236</w:t>
            </w:r>
            <w:r w:rsidRPr="00D47BA8">
              <w:rPr>
                <w:rFonts w:ascii="Times New Roman" w:eastAsia="Times New Roman" w:hAnsi="Times New Roman" w:cs="Times New Roman"/>
                <w:sz w:val="18"/>
                <w:szCs w:val="18"/>
              </w:rPr>
              <w:t xml:space="preserve"> m</w:t>
            </w:r>
            <w:r w:rsidRPr="00D47BA8">
              <w:rPr>
                <w:rFonts w:ascii="Times New Roman" w:eastAsia="Times New Roman" w:hAnsi="Times New Roman" w:cs="Times New Roman"/>
                <w:sz w:val="18"/>
                <w:szCs w:val="18"/>
                <w:vertAlign w:val="superscript"/>
              </w:rPr>
              <w:t>2</w:t>
            </w:r>
            <w:r w:rsidRPr="00D47BA8">
              <w:rPr>
                <w:rFonts w:ascii="Times New Roman" w:eastAsia="Times New Roman" w:hAnsi="Times New Roman" w:cs="Times New Roman"/>
                <w:sz w:val="18"/>
                <w:szCs w:val="18"/>
              </w:rPr>
              <w:t xml:space="preserve">, zwanej „przedmiotową nieruchomością” budynku mieszkalnego jednorodzinnego w zabudowie </w:t>
            </w:r>
            <w:r w:rsidR="00E9551C">
              <w:rPr>
                <w:rFonts w:ascii="Times New Roman" w:eastAsia="Times New Roman" w:hAnsi="Times New Roman" w:cs="Times New Roman"/>
                <w:sz w:val="18"/>
                <w:szCs w:val="18"/>
              </w:rPr>
              <w:t>bliźniaczej</w:t>
            </w:r>
            <w:r w:rsidRPr="00D47BA8">
              <w:rPr>
                <w:rFonts w:ascii="Times New Roman" w:eastAsia="Times New Roman" w:hAnsi="Times New Roman" w:cs="Times New Roman"/>
                <w:sz w:val="18"/>
                <w:szCs w:val="18"/>
              </w:rPr>
              <w:t>” - segment oznaczony jako „0</w:t>
            </w:r>
            <w:r w:rsidR="00D47BA8" w:rsidRPr="00D47BA8">
              <w:rPr>
                <w:rFonts w:ascii="Times New Roman" w:eastAsia="Times New Roman" w:hAnsi="Times New Roman" w:cs="Times New Roman"/>
                <w:sz w:val="18"/>
                <w:szCs w:val="18"/>
              </w:rPr>
              <w:t>3</w:t>
            </w:r>
            <w:r w:rsidRPr="00D47BA8">
              <w:rPr>
                <w:rFonts w:ascii="Times New Roman" w:eastAsia="Times New Roman" w:hAnsi="Times New Roman" w:cs="Times New Roman"/>
                <w:sz w:val="18"/>
                <w:szCs w:val="18"/>
              </w:rPr>
              <w:t xml:space="preserve">”, o projektowanej powierzchni użytkowej </w:t>
            </w:r>
            <w:r w:rsidR="00D47BA8" w:rsidRPr="00D47BA8">
              <w:rPr>
                <w:rFonts w:ascii="Times New Roman" w:eastAsia="Times New Roman" w:hAnsi="Times New Roman" w:cs="Times New Roman"/>
                <w:sz w:val="18"/>
                <w:szCs w:val="18"/>
              </w:rPr>
              <w:t xml:space="preserve">122,23 </w:t>
            </w:r>
            <w:r w:rsidRPr="00D47BA8">
              <w:rPr>
                <w:rFonts w:ascii="Times New Roman" w:eastAsia="Times New Roman" w:hAnsi="Times New Roman" w:cs="Times New Roman"/>
                <w:sz w:val="18"/>
                <w:szCs w:val="18"/>
              </w:rPr>
              <w:t>m</w:t>
            </w:r>
            <w:r w:rsidRPr="00D47BA8">
              <w:rPr>
                <w:rFonts w:ascii="Times New Roman" w:eastAsia="Times New Roman" w:hAnsi="Times New Roman" w:cs="Times New Roman"/>
                <w:sz w:val="18"/>
                <w:szCs w:val="18"/>
                <w:vertAlign w:val="superscript"/>
              </w:rPr>
              <w:t>2</w:t>
            </w:r>
            <w:r w:rsidR="007B6BCF" w:rsidRPr="00D47BA8">
              <w:rPr>
                <w:rFonts w:ascii="Times New Roman" w:eastAsia="Times New Roman" w:hAnsi="Times New Roman" w:cs="Times New Roman"/>
                <w:sz w:val="18"/>
                <w:szCs w:val="18"/>
                <w:vertAlign w:val="superscript"/>
              </w:rPr>
              <w:t xml:space="preserve"> </w:t>
            </w:r>
          </w:p>
          <w:p w14:paraId="08232BB9" w14:textId="77777777" w:rsidR="007B6BCF" w:rsidRDefault="007B6BCF" w:rsidP="007B6BCF">
            <w:pPr>
              <w:spacing w:beforeLines="60" w:before="144" w:afterLines="60" w:after="144" w:line="240" w:lineRule="auto"/>
              <w:jc w:val="both"/>
              <w:rPr>
                <w:rFonts w:ascii="Times New Roman" w:eastAsia="Times New Roman" w:hAnsi="Times New Roman" w:cs="Times New Roman"/>
                <w:color w:val="EE0000"/>
                <w:sz w:val="18"/>
                <w:szCs w:val="18"/>
              </w:rPr>
            </w:pPr>
          </w:p>
          <w:p w14:paraId="78A40A95" w14:textId="3D1566FA" w:rsidR="00D47BA8" w:rsidRPr="00B0230E" w:rsidRDefault="00D47BA8" w:rsidP="00D47BA8">
            <w:pPr>
              <w:spacing w:beforeLines="60" w:before="144" w:afterLines="60" w:after="144" w:line="240" w:lineRule="auto"/>
              <w:jc w:val="both"/>
              <w:rPr>
                <w:rFonts w:ascii="Times New Roman" w:eastAsia="Times New Roman" w:hAnsi="Times New Roman" w:cs="Times New Roman"/>
                <w:color w:val="EE0000"/>
                <w:sz w:val="18"/>
                <w:szCs w:val="18"/>
              </w:rPr>
            </w:pPr>
            <w:r w:rsidRPr="00D47BA8">
              <w:rPr>
                <w:rFonts w:ascii="Times New Roman" w:eastAsia="Times New Roman" w:hAnsi="Times New Roman" w:cs="Times New Roman"/>
                <w:sz w:val="18"/>
                <w:szCs w:val="18"/>
              </w:rPr>
              <w:t>Wybudowanie na działce o numerze geodezyjnym 113/17</w:t>
            </w:r>
            <w:r>
              <w:rPr>
                <w:rFonts w:ascii="Times New Roman" w:eastAsia="Times New Roman" w:hAnsi="Times New Roman" w:cs="Times New Roman"/>
                <w:sz w:val="18"/>
                <w:szCs w:val="18"/>
              </w:rPr>
              <w:t>4</w:t>
            </w:r>
            <w:r w:rsidRPr="00D47BA8">
              <w:rPr>
                <w:rFonts w:ascii="Times New Roman" w:eastAsia="Times New Roman" w:hAnsi="Times New Roman" w:cs="Times New Roman"/>
                <w:sz w:val="18"/>
                <w:szCs w:val="18"/>
              </w:rPr>
              <w:t xml:space="preserve"> o projektowanej powierzchni 236 m</w:t>
            </w:r>
            <w:r w:rsidRPr="00D47BA8">
              <w:rPr>
                <w:rFonts w:ascii="Times New Roman" w:eastAsia="Times New Roman" w:hAnsi="Times New Roman" w:cs="Times New Roman"/>
                <w:sz w:val="18"/>
                <w:szCs w:val="18"/>
                <w:vertAlign w:val="superscript"/>
              </w:rPr>
              <w:t>2</w:t>
            </w:r>
            <w:r w:rsidRPr="00D47BA8">
              <w:rPr>
                <w:rFonts w:ascii="Times New Roman" w:eastAsia="Times New Roman" w:hAnsi="Times New Roman" w:cs="Times New Roman"/>
                <w:sz w:val="18"/>
                <w:szCs w:val="18"/>
              </w:rPr>
              <w:t xml:space="preserve">, zwanej „przedmiotową nieruchomością” budynku mieszkalnego jednorodzinnego w zabudowie </w:t>
            </w:r>
            <w:r w:rsidR="00E9551C">
              <w:rPr>
                <w:rFonts w:ascii="Times New Roman" w:eastAsia="Times New Roman" w:hAnsi="Times New Roman" w:cs="Times New Roman"/>
                <w:sz w:val="18"/>
                <w:szCs w:val="18"/>
              </w:rPr>
              <w:t>bliźniaczej</w:t>
            </w:r>
            <w:r w:rsidRPr="00D47BA8">
              <w:rPr>
                <w:rFonts w:ascii="Times New Roman" w:eastAsia="Times New Roman" w:hAnsi="Times New Roman" w:cs="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 New Roman" w:eastAsia="Times New Roman" w:hAnsi="Times New Roman" w:cs="Times New Roman"/>
                <w:sz w:val="18"/>
                <w:szCs w:val="18"/>
              </w:rPr>
              <w:t>”, o</w:t>
            </w:r>
            <w:r w:rsidR="00BE3FA6">
              <w:rPr>
                <w:rFonts w:ascii="Times New Roman" w:eastAsia="Times New Roman" w:hAnsi="Times New Roman" w:cs="Times New Roman"/>
                <w:sz w:val="18"/>
                <w:szCs w:val="18"/>
              </w:rPr>
              <w:t> </w:t>
            </w:r>
            <w:r w:rsidRPr="00D47BA8">
              <w:rPr>
                <w:rFonts w:ascii="Times New Roman" w:eastAsia="Times New Roman" w:hAnsi="Times New Roman" w:cs="Times New Roman"/>
                <w:sz w:val="18"/>
                <w:szCs w:val="18"/>
              </w:rPr>
              <w:t>projektowanej powierzchni użytkowej 122,23 m</w:t>
            </w:r>
            <w:r w:rsidRPr="00D47BA8">
              <w:rPr>
                <w:rFonts w:ascii="Times New Roman" w:eastAsia="Times New Roman" w:hAnsi="Times New Roman" w:cs="Times New Roman"/>
                <w:sz w:val="18"/>
                <w:szCs w:val="18"/>
                <w:vertAlign w:val="superscript"/>
              </w:rPr>
              <w:t xml:space="preserve">2 </w:t>
            </w:r>
          </w:p>
          <w:p w14:paraId="53A393F9" w14:textId="77777777" w:rsidR="007B6BCF" w:rsidRPr="00B0230E" w:rsidRDefault="007B6BCF" w:rsidP="007B6BCF">
            <w:pPr>
              <w:spacing w:beforeLines="60" w:before="144" w:afterLines="60" w:after="144" w:line="240" w:lineRule="auto"/>
              <w:jc w:val="both"/>
              <w:rPr>
                <w:rFonts w:ascii="Times New Roman" w:eastAsia="Times New Roman" w:hAnsi="Times New Roman" w:cs="Times New Roman"/>
                <w:color w:val="EE0000"/>
                <w:sz w:val="18"/>
                <w:szCs w:val="18"/>
              </w:rPr>
            </w:pPr>
          </w:p>
          <w:p w14:paraId="6C22BC8B" w14:textId="4E79E14F" w:rsidR="007B6BCF" w:rsidRPr="00BE3FA6" w:rsidRDefault="007B6BCF" w:rsidP="007B6BCF">
            <w:pPr>
              <w:spacing w:beforeLines="60" w:before="144" w:afterLines="60" w:after="144" w:line="240" w:lineRule="auto"/>
              <w:jc w:val="both"/>
              <w:rPr>
                <w:rFonts w:ascii="Times New Roman" w:eastAsia="Times New Roman" w:hAnsi="Times New Roman" w:cs="Times New Roman"/>
                <w:sz w:val="18"/>
                <w:szCs w:val="18"/>
                <w:vertAlign w:val="superscript"/>
              </w:rPr>
            </w:pPr>
            <w:r w:rsidRPr="00BE3FA6">
              <w:rPr>
                <w:rFonts w:ascii="Times New Roman" w:eastAsia="Times New Roman" w:hAnsi="Times New Roman" w:cs="Times New Roman"/>
                <w:sz w:val="18"/>
                <w:szCs w:val="18"/>
              </w:rPr>
              <w:t xml:space="preserve">Wybudowanie na działce o numerze geodezyjnym </w:t>
            </w:r>
            <w:r w:rsidR="00683CF6" w:rsidRPr="00BE3FA6">
              <w:rPr>
                <w:rFonts w:ascii="Times New Roman" w:eastAsia="Times New Roman" w:hAnsi="Times New Roman" w:cs="Times New Roman"/>
                <w:sz w:val="18"/>
                <w:szCs w:val="18"/>
              </w:rPr>
              <w:t>113/175</w:t>
            </w:r>
            <w:r w:rsidRPr="00BE3FA6">
              <w:rPr>
                <w:rFonts w:ascii="Times New Roman" w:eastAsia="Times New Roman" w:hAnsi="Times New Roman" w:cs="Times New Roman"/>
                <w:sz w:val="18"/>
                <w:szCs w:val="18"/>
              </w:rPr>
              <w:t xml:space="preserve"> </w:t>
            </w:r>
            <w:proofErr w:type="spellStart"/>
            <w:r w:rsidRPr="00BE3FA6">
              <w:rPr>
                <w:rFonts w:ascii="Times New Roman" w:eastAsia="Times New Roman" w:hAnsi="Times New Roman" w:cs="Times New Roman"/>
                <w:sz w:val="18"/>
                <w:szCs w:val="18"/>
              </w:rPr>
              <w:t>oprojektowanej</w:t>
            </w:r>
            <w:proofErr w:type="spellEnd"/>
            <w:r w:rsidRPr="00BE3FA6">
              <w:rPr>
                <w:rFonts w:ascii="Times New Roman" w:eastAsia="Times New Roman" w:hAnsi="Times New Roman" w:cs="Times New Roman"/>
                <w:sz w:val="18"/>
                <w:szCs w:val="18"/>
              </w:rPr>
              <w:t xml:space="preserve"> powierzchni </w:t>
            </w:r>
            <w:r w:rsidR="00683CF6" w:rsidRPr="00BE3FA6">
              <w:rPr>
                <w:rFonts w:ascii="Times New Roman" w:eastAsia="Times New Roman" w:hAnsi="Times New Roman" w:cs="Times New Roman"/>
                <w:sz w:val="18"/>
                <w:szCs w:val="18"/>
              </w:rPr>
              <w:t xml:space="preserve">235 </w:t>
            </w:r>
            <w:r w:rsidRPr="00BE3FA6">
              <w:rPr>
                <w:rFonts w:ascii="Times New Roman" w:eastAsia="Times New Roman" w:hAnsi="Times New Roman" w:cs="Times New Roman"/>
                <w:sz w:val="18"/>
                <w:szCs w:val="18"/>
              </w:rPr>
              <w:t>m</w:t>
            </w:r>
            <w:r w:rsidRPr="00BE3FA6">
              <w:rPr>
                <w:rFonts w:ascii="Times New Roman" w:eastAsia="Times New Roman" w:hAnsi="Times New Roman" w:cs="Times New Roman"/>
                <w:sz w:val="18"/>
                <w:szCs w:val="18"/>
                <w:vertAlign w:val="superscript"/>
              </w:rPr>
              <w:t>2</w:t>
            </w:r>
            <w:r w:rsidRPr="00BE3FA6">
              <w:rPr>
                <w:rFonts w:ascii="Times New Roman" w:eastAsia="Times New Roman" w:hAnsi="Times New Roman" w:cs="Times New Roman"/>
                <w:sz w:val="18"/>
                <w:szCs w:val="18"/>
              </w:rPr>
              <w:t>, zwanej „przedmiotową nieruchomością” budynku mieszkalnego jednorodzinnego w</w:t>
            </w:r>
            <w:r w:rsidR="009A5F5D">
              <w:rPr>
                <w:rFonts w:ascii="Times New Roman" w:eastAsia="Times New Roman" w:hAnsi="Times New Roman" w:cs="Times New Roman"/>
                <w:sz w:val="18"/>
                <w:szCs w:val="18"/>
              </w:rPr>
              <w:t> </w:t>
            </w:r>
            <w:r w:rsidRPr="00BE3FA6">
              <w:rPr>
                <w:rFonts w:ascii="Times New Roman" w:eastAsia="Times New Roman" w:hAnsi="Times New Roman" w:cs="Times New Roman"/>
                <w:sz w:val="18"/>
                <w:szCs w:val="18"/>
              </w:rPr>
              <w:t xml:space="preserve">zabudowie </w:t>
            </w:r>
            <w:r w:rsidR="00E9551C">
              <w:rPr>
                <w:rFonts w:ascii="Times New Roman" w:eastAsia="Times New Roman" w:hAnsi="Times New Roman" w:cs="Times New Roman"/>
                <w:sz w:val="18"/>
                <w:szCs w:val="18"/>
              </w:rPr>
              <w:t>bliźniaczej</w:t>
            </w:r>
            <w:r w:rsidRPr="00BE3FA6">
              <w:rPr>
                <w:rFonts w:ascii="Times New Roman" w:eastAsia="Times New Roman" w:hAnsi="Times New Roman" w:cs="Times New Roman"/>
                <w:sz w:val="18"/>
                <w:szCs w:val="18"/>
              </w:rPr>
              <w:t>” - segment oznaczony jako „0</w:t>
            </w:r>
            <w:r w:rsidR="00683CF6" w:rsidRPr="00BE3FA6">
              <w:rPr>
                <w:rFonts w:ascii="Times New Roman" w:eastAsia="Times New Roman" w:hAnsi="Times New Roman" w:cs="Times New Roman"/>
                <w:sz w:val="18"/>
                <w:szCs w:val="18"/>
              </w:rPr>
              <w:t>5</w:t>
            </w:r>
            <w:r w:rsidRPr="00BE3FA6">
              <w:rPr>
                <w:rFonts w:ascii="Times New Roman" w:eastAsia="Times New Roman" w:hAnsi="Times New Roman" w:cs="Times New Roman"/>
                <w:sz w:val="18"/>
                <w:szCs w:val="18"/>
              </w:rPr>
              <w:t>”, o</w:t>
            </w:r>
            <w:r w:rsidR="00BE3FA6">
              <w:rPr>
                <w:rFonts w:ascii="Times New Roman" w:eastAsia="Times New Roman" w:hAnsi="Times New Roman" w:cs="Times New Roman"/>
                <w:sz w:val="18"/>
                <w:szCs w:val="18"/>
              </w:rPr>
              <w:t> </w:t>
            </w:r>
            <w:r w:rsidRPr="00BE3FA6">
              <w:rPr>
                <w:rFonts w:ascii="Times New Roman" w:eastAsia="Times New Roman" w:hAnsi="Times New Roman" w:cs="Times New Roman"/>
                <w:sz w:val="18"/>
                <w:szCs w:val="18"/>
              </w:rPr>
              <w:t xml:space="preserve">projektowanej powierzchni użytkowej </w:t>
            </w:r>
            <w:r w:rsidR="00683CF6" w:rsidRPr="00BE3FA6">
              <w:rPr>
                <w:rFonts w:ascii="Times New Roman" w:eastAsia="Times New Roman" w:hAnsi="Times New Roman" w:cs="Times New Roman"/>
                <w:sz w:val="18"/>
                <w:szCs w:val="18"/>
              </w:rPr>
              <w:t xml:space="preserve">122,23 </w:t>
            </w:r>
            <w:r w:rsidRPr="00BE3FA6">
              <w:rPr>
                <w:rFonts w:ascii="Times New Roman" w:eastAsia="Times New Roman" w:hAnsi="Times New Roman" w:cs="Times New Roman"/>
                <w:sz w:val="18"/>
                <w:szCs w:val="18"/>
              </w:rPr>
              <w:t>m</w:t>
            </w:r>
            <w:r w:rsidRPr="00BE3FA6">
              <w:rPr>
                <w:rFonts w:ascii="Times New Roman" w:eastAsia="Times New Roman" w:hAnsi="Times New Roman" w:cs="Times New Roman"/>
                <w:sz w:val="18"/>
                <w:szCs w:val="18"/>
                <w:vertAlign w:val="superscript"/>
              </w:rPr>
              <w:t>2</w:t>
            </w:r>
          </w:p>
          <w:p w14:paraId="497D217C" w14:textId="77777777" w:rsidR="007B6BCF" w:rsidRPr="00BE3FA6" w:rsidRDefault="007B6BCF" w:rsidP="007B6BCF">
            <w:pPr>
              <w:spacing w:beforeLines="60" w:before="144" w:afterLines="60" w:after="144" w:line="240" w:lineRule="auto"/>
              <w:jc w:val="both"/>
              <w:rPr>
                <w:rFonts w:ascii="Times New Roman" w:eastAsia="Times New Roman" w:hAnsi="Times New Roman" w:cs="Times New Roman"/>
                <w:sz w:val="18"/>
                <w:szCs w:val="18"/>
                <w:vertAlign w:val="superscript"/>
              </w:rPr>
            </w:pPr>
          </w:p>
          <w:p w14:paraId="27E08FBB" w14:textId="17B9F9C5" w:rsidR="007B6BCF" w:rsidRPr="00BE3FA6" w:rsidRDefault="007B6BCF" w:rsidP="007B6BCF">
            <w:pPr>
              <w:spacing w:beforeLines="60" w:before="144" w:afterLines="60" w:after="144" w:line="240" w:lineRule="auto"/>
              <w:jc w:val="both"/>
              <w:rPr>
                <w:rFonts w:ascii="Times New Roman" w:eastAsia="Times New Roman" w:hAnsi="Times New Roman" w:cs="Times New Roman"/>
                <w:sz w:val="18"/>
                <w:szCs w:val="18"/>
                <w:vertAlign w:val="superscript"/>
              </w:rPr>
            </w:pPr>
            <w:r w:rsidRPr="00BE3FA6">
              <w:rPr>
                <w:rFonts w:ascii="Times New Roman" w:eastAsia="Times New Roman" w:hAnsi="Times New Roman" w:cs="Times New Roman"/>
                <w:sz w:val="18"/>
                <w:szCs w:val="18"/>
              </w:rPr>
              <w:t xml:space="preserve">Wybudowanie na działce o numerze geodezyjnym </w:t>
            </w:r>
            <w:r w:rsidR="00683CF6" w:rsidRPr="00BE3FA6">
              <w:rPr>
                <w:rFonts w:ascii="Times New Roman" w:eastAsia="Times New Roman" w:hAnsi="Times New Roman" w:cs="Times New Roman"/>
                <w:sz w:val="18"/>
                <w:szCs w:val="18"/>
              </w:rPr>
              <w:t>113/176</w:t>
            </w:r>
            <w:r w:rsidRPr="00BE3FA6">
              <w:rPr>
                <w:rFonts w:ascii="Times New Roman" w:eastAsia="Times New Roman" w:hAnsi="Times New Roman" w:cs="Times New Roman"/>
                <w:sz w:val="18"/>
                <w:szCs w:val="18"/>
              </w:rPr>
              <w:t xml:space="preserve"> o</w:t>
            </w:r>
            <w:r w:rsidR="009A5F5D">
              <w:rPr>
                <w:rFonts w:ascii="Times New Roman" w:eastAsia="Times New Roman" w:hAnsi="Times New Roman" w:cs="Times New Roman"/>
                <w:sz w:val="18"/>
                <w:szCs w:val="18"/>
              </w:rPr>
              <w:t> </w:t>
            </w:r>
            <w:r w:rsidRPr="00BE3FA6">
              <w:rPr>
                <w:rFonts w:ascii="Times New Roman" w:eastAsia="Times New Roman" w:hAnsi="Times New Roman" w:cs="Times New Roman"/>
                <w:sz w:val="18"/>
                <w:szCs w:val="18"/>
              </w:rPr>
              <w:t xml:space="preserve">projektowanej powierzchni </w:t>
            </w:r>
            <w:r w:rsidR="00683CF6" w:rsidRPr="00BE3FA6">
              <w:rPr>
                <w:rFonts w:ascii="Times New Roman" w:eastAsia="Times New Roman" w:hAnsi="Times New Roman" w:cs="Times New Roman"/>
                <w:sz w:val="18"/>
                <w:szCs w:val="18"/>
              </w:rPr>
              <w:t>236</w:t>
            </w:r>
            <w:r w:rsidRPr="00BE3FA6">
              <w:rPr>
                <w:rFonts w:ascii="Times New Roman" w:eastAsia="Times New Roman" w:hAnsi="Times New Roman" w:cs="Times New Roman"/>
                <w:sz w:val="18"/>
                <w:szCs w:val="18"/>
              </w:rPr>
              <w:t xml:space="preserve"> m</w:t>
            </w:r>
            <w:r w:rsidRPr="00BE3FA6">
              <w:rPr>
                <w:rFonts w:ascii="Times New Roman" w:eastAsia="Times New Roman" w:hAnsi="Times New Roman" w:cs="Times New Roman"/>
                <w:sz w:val="18"/>
                <w:szCs w:val="18"/>
                <w:vertAlign w:val="superscript"/>
              </w:rPr>
              <w:t>2</w:t>
            </w:r>
            <w:r w:rsidRPr="00BE3FA6">
              <w:rPr>
                <w:rFonts w:ascii="Times New Roman" w:eastAsia="Times New Roman" w:hAnsi="Times New Roman" w:cs="Times New Roman"/>
                <w:sz w:val="18"/>
                <w:szCs w:val="18"/>
              </w:rPr>
              <w:t xml:space="preserve">, zwanej „przedmiotową nieruchomością” budynku mieszkalnego jednorodzinnego w zabudowie </w:t>
            </w:r>
            <w:r w:rsidR="00E9551C">
              <w:rPr>
                <w:rFonts w:ascii="Times New Roman" w:eastAsia="Times New Roman" w:hAnsi="Times New Roman" w:cs="Times New Roman"/>
                <w:sz w:val="18"/>
                <w:szCs w:val="18"/>
              </w:rPr>
              <w:t>bliźniaczej</w:t>
            </w:r>
            <w:r w:rsidRPr="00BE3FA6">
              <w:rPr>
                <w:rFonts w:ascii="Times New Roman" w:eastAsia="Times New Roman" w:hAnsi="Times New Roman" w:cs="Times New Roman"/>
                <w:sz w:val="18"/>
                <w:szCs w:val="18"/>
              </w:rPr>
              <w:t>” - segment oznaczony jako „0</w:t>
            </w:r>
            <w:r w:rsidR="00683CF6" w:rsidRPr="00BE3FA6">
              <w:rPr>
                <w:rFonts w:ascii="Times New Roman" w:eastAsia="Times New Roman" w:hAnsi="Times New Roman" w:cs="Times New Roman"/>
                <w:sz w:val="18"/>
                <w:szCs w:val="18"/>
              </w:rPr>
              <w:t>6</w:t>
            </w:r>
            <w:r w:rsidRPr="00BE3FA6">
              <w:rPr>
                <w:rFonts w:ascii="Times New Roman" w:eastAsia="Times New Roman" w:hAnsi="Times New Roman" w:cs="Times New Roman"/>
                <w:sz w:val="18"/>
                <w:szCs w:val="18"/>
              </w:rPr>
              <w:t xml:space="preserve">”, o projektowanej powierzchni użytkowej </w:t>
            </w:r>
            <w:r w:rsidR="00683CF6" w:rsidRPr="00BE3FA6">
              <w:rPr>
                <w:rFonts w:ascii="Times New Roman" w:eastAsia="Times New Roman" w:hAnsi="Times New Roman" w:cs="Times New Roman"/>
                <w:sz w:val="18"/>
                <w:szCs w:val="18"/>
              </w:rPr>
              <w:t xml:space="preserve">122,23 </w:t>
            </w:r>
            <w:r w:rsidRPr="00BE3FA6">
              <w:rPr>
                <w:rFonts w:ascii="Times New Roman" w:eastAsia="Times New Roman" w:hAnsi="Times New Roman" w:cs="Times New Roman"/>
                <w:sz w:val="18"/>
                <w:szCs w:val="18"/>
              </w:rPr>
              <w:t>m</w:t>
            </w:r>
            <w:r w:rsidRPr="00BE3FA6">
              <w:rPr>
                <w:rFonts w:ascii="Times New Roman" w:eastAsia="Times New Roman" w:hAnsi="Times New Roman" w:cs="Times New Roman"/>
                <w:sz w:val="18"/>
                <w:szCs w:val="18"/>
                <w:vertAlign w:val="superscript"/>
              </w:rPr>
              <w:t>2</w:t>
            </w:r>
          </w:p>
          <w:p w14:paraId="217F6F7F" w14:textId="77777777" w:rsidR="007B6BCF" w:rsidRPr="00BE3FA6" w:rsidRDefault="007B6BCF" w:rsidP="004E3F9A">
            <w:pPr>
              <w:spacing w:beforeLines="60" w:before="144" w:afterLines="60" w:after="144" w:line="240" w:lineRule="auto"/>
              <w:jc w:val="both"/>
              <w:rPr>
                <w:rFonts w:ascii="Times New Roman" w:eastAsia="Times New Roman" w:hAnsi="Times New Roman" w:cs="Times New Roman"/>
                <w:sz w:val="18"/>
                <w:szCs w:val="18"/>
                <w:vertAlign w:val="superscript"/>
              </w:rPr>
            </w:pPr>
          </w:p>
          <w:p w14:paraId="59FD7760" w14:textId="73E55FF5" w:rsidR="00402003" w:rsidRPr="00BE3FA6" w:rsidRDefault="00402003" w:rsidP="00402003">
            <w:pPr>
              <w:spacing w:beforeLines="60" w:before="144" w:afterLines="60" w:after="144" w:line="240" w:lineRule="auto"/>
              <w:jc w:val="both"/>
              <w:rPr>
                <w:rFonts w:ascii="Times New Roman" w:eastAsia="Times New Roman" w:hAnsi="Times New Roman" w:cs="Times New Roman"/>
                <w:sz w:val="18"/>
                <w:szCs w:val="18"/>
                <w:vertAlign w:val="superscript"/>
              </w:rPr>
            </w:pPr>
            <w:r w:rsidRPr="00BE3FA6">
              <w:rPr>
                <w:rFonts w:ascii="Times New Roman" w:eastAsia="Times New Roman" w:hAnsi="Times New Roman" w:cs="Times New Roman"/>
                <w:sz w:val="18"/>
                <w:szCs w:val="18"/>
              </w:rPr>
              <w:t>Wybudowanie na dział</w:t>
            </w:r>
            <w:r w:rsidR="00683CF6" w:rsidRPr="00BE3FA6">
              <w:rPr>
                <w:rFonts w:ascii="Times New Roman" w:eastAsia="Times New Roman" w:hAnsi="Times New Roman" w:cs="Times New Roman"/>
                <w:sz w:val="18"/>
                <w:szCs w:val="18"/>
              </w:rPr>
              <w:t>kach</w:t>
            </w:r>
            <w:r w:rsidRPr="00BE3FA6">
              <w:rPr>
                <w:rFonts w:ascii="Times New Roman" w:eastAsia="Times New Roman" w:hAnsi="Times New Roman" w:cs="Times New Roman"/>
                <w:sz w:val="18"/>
                <w:szCs w:val="18"/>
              </w:rPr>
              <w:t xml:space="preserve"> o numerze geodezyjnym </w:t>
            </w:r>
            <w:r w:rsidR="00683CF6" w:rsidRPr="00BE3FA6">
              <w:rPr>
                <w:rFonts w:ascii="Times New Roman" w:eastAsia="Times New Roman" w:hAnsi="Times New Roman" w:cs="Times New Roman"/>
                <w:sz w:val="18"/>
                <w:szCs w:val="18"/>
              </w:rPr>
              <w:t>113/177 i</w:t>
            </w:r>
            <w:r w:rsidR="009A5F5D">
              <w:rPr>
                <w:rFonts w:ascii="Times New Roman" w:eastAsia="Times New Roman" w:hAnsi="Times New Roman" w:cs="Times New Roman"/>
                <w:sz w:val="18"/>
                <w:szCs w:val="18"/>
              </w:rPr>
              <w:t> </w:t>
            </w:r>
            <w:r w:rsidR="00683CF6" w:rsidRPr="00BE3FA6">
              <w:rPr>
                <w:rFonts w:ascii="Times New Roman" w:eastAsia="Times New Roman" w:hAnsi="Times New Roman" w:cs="Times New Roman"/>
                <w:sz w:val="18"/>
                <w:szCs w:val="18"/>
              </w:rPr>
              <w:t>113/178</w:t>
            </w:r>
            <w:r w:rsidRPr="00BE3FA6">
              <w:rPr>
                <w:rFonts w:ascii="Times New Roman" w:eastAsia="Times New Roman" w:hAnsi="Times New Roman" w:cs="Times New Roman"/>
                <w:sz w:val="18"/>
                <w:szCs w:val="18"/>
              </w:rPr>
              <w:t xml:space="preserve"> o projektowanej powierzchni </w:t>
            </w:r>
            <w:r w:rsidR="00BE3FA6" w:rsidRPr="00BE3FA6">
              <w:rPr>
                <w:rFonts w:ascii="Times New Roman" w:eastAsia="Times New Roman" w:hAnsi="Times New Roman" w:cs="Times New Roman"/>
                <w:sz w:val="18"/>
                <w:szCs w:val="18"/>
              </w:rPr>
              <w:t>236</w:t>
            </w:r>
            <w:r w:rsidRPr="00BE3FA6">
              <w:rPr>
                <w:rFonts w:ascii="Times New Roman" w:eastAsia="Times New Roman" w:hAnsi="Times New Roman" w:cs="Times New Roman"/>
                <w:sz w:val="18"/>
                <w:szCs w:val="18"/>
              </w:rPr>
              <w:t xml:space="preserve"> m</w:t>
            </w:r>
            <w:r w:rsidRPr="00BE3FA6">
              <w:rPr>
                <w:rFonts w:ascii="Times New Roman" w:eastAsia="Times New Roman" w:hAnsi="Times New Roman" w:cs="Times New Roman"/>
                <w:sz w:val="18"/>
                <w:szCs w:val="18"/>
                <w:vertAlign w:val="superscript"/>
              </w:rPr>
              <w:t>2</w:t>
            </w:r>
            <w:r w:rsidRPr="00BE3FA6">
              <w:rPr>
                <w:rFonts w:ascii="Times New Roman" w:eastAsia="Times New Roman" w:hAnsi="Times New Roman" w:cs="Times New Roman"/>
                <w:sz w:val="18"/>
                <w:szCs w:val="18"/>
              </w:rPr>
              <w:t xml:space="preserve">, zwanej „przedmiotową nieruchomością” budynku mieszkalnego jednorodzinnego w zabudowie </w:t>
            </w:r>
            <w:r w:rsidR="00E9551C">
              <w:rPr>
                <w:rFonts w:ascii="Times New Roman" w:eastAsia="Times New Roman" w:hAnsi="Times New Roman" w:cs="Times New Roman"/>
                <w:sz w:val="18"/>
                <w:szCs w:val="18"/>
              </w:rPr>
              <w:t>bliźniaczej</w:t>
            </w:r>
            <w:r w:rsidRPr="00BE3FA6">
              <w:rPr>
                <w:rFonts w:ascii="Times New Roman" w:eastAsia="Times New Roman" w:hAnsi="Times New Roman" w:cs="Times New Roman"/>
                <w:sz w:val="18"/>
                <w:szCs w:val="18"/>
              </w:rPr>
              <w:t>” - segment oznaczony jako „</w:t>
            </w:r>
            <w:r w:rsidR="00683CF6" w:rsidRPr="00BE3FA6">
              <w:rPr>
                <w:rFonts w:ascii="Times New Roman" w:eastAsia="Times New Roman" w:hAnsi="Times New Roman" w:cs="Times New Roman"/>
                <w:sz w:val="18"/>
                <w:szCs w:val="18"/>
              </w:rPr>
              <w:t>07</w:t>
            </w:r>
            <w:r w:rsidRPr="00BE3FA6">
              <w:rPr>
                <w:rFonts w:ascii="Times New Roman" w:eastAsia="Times New Roman" w:hAnsi="Times New Roman" w:cs="Times New Roman"/>
                <w:sz w:val="18"/>
                <w:szCs w:val="18"/>
              </w:rPr>
              <w:t xml:space="preserve">”, o projektowanej powierzchni użytkowej </w:t>
            </w:r>
            <w:r w:rsidR="00683CF6" w:rsidRPr="00BE3FA6">
              <w:rPr>
                <w:rFonts w:ascii="Times New Roman" w:eastAsia="Times New Roman" w:hAnsi="Times New Roman" w:cs="Times New Roman"/>
                <w:sz w:val="18"/>
                <w:szCs w:val="18"/>
              </w:rPr>
              <w:t xml:space="preserve">122,23 </w:t>
            </w:r>
            <w:r w:rsidRPr="00BE3FA6">
              <w:rPr>
                <w:rFonts w:ascii="Times New Roman" w:eastAsia="Times New Roman" w:hAnsi="Times New Roman" w:cs="Times New Roman"/>
                <w:sz w:val="18"/>
                <w:szCs w:val="18"/>
              </w:rPr>
              <w:t>m</w:t>
            </w:r>
            <w:r w:rsidRPr="00BE3FA6">
              <w:rPr>
                <w:rFonts w:ascii="Times New Roman" w:eastAsia="Times New Roman" w:hAnsi="Times New Roman" w:cs="Times New Roman"/>
                <w:sz w:val="18"/>
                <w:szCs w:val="18"/>
                <w:vertAlign w:val="superscript"/>
              </w:rPr>
              <w:t>2</w:t>
            </w:r>
          </w:p>
          <w:p w14:paraId="160856D6" w14:textId="77777777" w:rsidR="00D47BA8" w:rsidRPr="00BE3FA6" w:rsidRDefault="00D47BA8" w:rsidP="00402003">
            <w:pPr>
              <w:spacing w:beforeLines="60" w:before="144" w:afterLines="60" w:after="144" w:line="240" w:lineRule="auto"/>
              <w:jc w:val="both"/>
              <w:rPr>
                <w:rFonts w:ascii="Times New Roman" w:eastAsia="Times New Roman" w:hAnsi="Times New Roman" w:cs="Times New Roman"/>
                <w:sz w:val="18"/>
                <w:szCs w:val="18"/>
              </w:rPr>
            </w:pPr>
          </w:p>
          <w:p w14:paraId="4BC5FF45" w14:textId="123E6F63" w:rsidR="00402003" w:rsidRPr="00BE3FA6" w:rsidRDefault="00402003" w:rsidP="00402003">
            <w:pPr>
              <w:spacing w:beforeLines="60" w:before="144" w:afterLines="60" w:after="144" w:line="240" w:lineRule="auto"/>
              <w:jc w:val="both"/>
              <w:rPr>
                <w:rFonts w:ascii="Times New Roman" w:eastAsia="Times New Roman" w:hAnsi="Times New Roman" w:cs="Times New Roman"/>
                <w:sz w:val="18"/>
                <w:szCs w:val="18"/>
                <w:vertAlign w:val="superscript"/>
              </w:rPr>
            </w:pPr>
            <w:r w:rsidRPr="00BE3FA6">
              <w:rPr>
                <w:rFonts w:ascii="Times New Roman" w:eastAsia="Times New Roman" w:hAnsi="Times New Roman" w:cs="Times New Roman"/>
                <w:sz w:val="18"/>
                <w:szCs w:val="18"/>
              </w:rPr>
              <w:t xml:space="preserve">Wybudowanie na działce o numerze geodezyjnym </w:t>
            </w:r>
            <w:r w:rsidR="00BE3FA6" w:rsidRPr="00BE3FA6">
              <w:rPr>
                <w:rFonts w:ascii="Times New Roman" w:eastAsia="Times New Roman" w:hAnsi="Times New Roman" w:cs="Times New Roman"/>
                <w:sz w:val="18"/>
                <w:szCs w:val="18"/>
              </w:rPr>
              <w:t>113/180 i</w:t>
            </w:r>
            <w:r w:rsidR="009A5F5D">
              <w:rPr>
                <w:rFonts w:ascii="Times New Roman" w:eastAsia="Times New Roman" w:hAnsi="Times New Roman" w:cs="Times New Roman"/>
                <w:sz w:val="18"/>
                <w:szCs w:val="18"/>
              </w:rPr>
              <w:t> </w:t>
            </w:r>
            <w:r w:rsidR="00BE3FA6" w:rsidRPr="00BE3FA6">
              <w:rPr>
                <w:rFonts w:ascii="Times New Roman" w:eastAsia="Times New Roman" w:hAnsi="Times New Roman" w:cs="Times New Roman"/>
                <w:sz w:val="18"/>
                <w:szCs w:val="18"/>
              </w:rPr>
              <w:t>113/179</w:t>
            </w:r>
            <w:r w:rsidRPr="00BE3FA6">
              <w:rPr>
                <w:rFonts w:ascii="Times New Roman" w:eastAsia="Times New Roman" w:hAnsi="Times New Roman" w:cs="Times New Roman"/>
                <w:sz w:val="18"/>
                <w:szCs w:val="18"/>
              </w:rPr>
              <w:t xml:space="preserve"> o projektowanej powierzchni </w:t>
            </w:r>
            <w:r w:rsidR="00BE3FA6" w:rsidRPr="00BE3FA6">
              <w:rPr>
                <w:rFonts w:ascii="Times New Roman" w:eastAsia="Times New Roman" w:hAnsi="Times New Roman" w:cs="Times New Roman"/>
                <w:sz w:val="18"/>
                <w:szCs w:val="18"/>
              </w:rPr>
              <w:t>236</w:t>
            </w:r>
            <w:r w:rsidRPr="00BE3FA6">
              <w:rPr>
                <w:rFonts w:ascii="Times New Roman" w:eastAsia="Times New Roman" w:hAnsi="Times New Roman" w:cs="Times New Roman"/>
                <w:sz w:val="18"/>
                <w:szCs w:val="18"/>
              </w:rPr>
              <w:t xml:space="preserve"> m</w:t>
            </w:r>
            <w:r w:rsidRPr="00BE3FA6">
              <w:rPr>
                <w:rFonts w:ascii="Times New Roman" w:eastAsia="Times New Roman" w:hAnsi="Times New Roman" w:cs="Times New Roman"/>
                <w:sz w:val="18"/>
                <w:szCs w:val="18"/>
                <w:vertAlign w:val="superscript"/>
              </w:rPr>
              <w:t>2</w:t>
            </w:r>
            <w:r w:rsidRPr="00BE3FA6">
              <w:rPr>
                <w:rFonts w:ascii="Times New Roman" w:eastAsia="Times New Roman" w:hAnsi="Times New Roman" w:cs="Times New Roman"/>
                <w:sz w:val="18"/>
                <w:szCs w:val="18"/>
              </w:rPr>
              <w:t xml:space="preserve">, zwanej „przedmiotową nieruchomością” budynku mieszkalnego </w:t>
            </w:r>
            <w:r w:rsidRPr="00BE3FA6">
              <w:rPr>
                <w:rFonts w:ascii="Times New Roman" w:eastAsia="Times New Roman" w:hAnsi="Times New Roman" w:cs="Times New Roman"/>
                <w:sz w:val="18"/>
                <w:szCs w:val="18"/>
              </w:rPr>
              <w:lastRenderedPageBreak/>
              <w:t xml:space="preserve">jednorodzinnego w zabudowie </w:t>
            </w:r>
            <w:r w:rsidR="00E9551C">
              <w:rPr>
                <w:rFonts w:ascii="Times New Roman" w:eastAsia="Times New Roman" w:hAnsi="Times New Roman" w:cs="Times New Roman"/>
                <w:sz w:val="18"/>
                <w:szCs w:val="18"/>
              </w:rPr>
              <w:t>bliźniaczej</w:t>
            </w:r>
            <w:r w:rsidRPr="00BE3FA6">
              <w:rPr>
                <w:rFonts w:ascii="Times New Roman" w:eastAsia="Times New Roman" w:hAnsi="Times New Roman" w:cs="Times New Roman"/>
                <w:sz w:val="18"/>
                <w:szCs w:val="18"/>
              </w:rPr>
              <w:t>” - segment oznaczony jako „</w:t>
            </w:r>
            <w:r w:rsidR="00683CF6" w:rsidRPr="00BE3FA6">
              <w:rPr>
                <w:rFonts w:ascii="Times New Roman" w:eastAsia="Times New Roman" w:hAnsi="Times New Roman" w:cs="Times New Roman"/>
                <w:sz w:val="18"/>
                <w:szCs w:val="18"/>
              </w:rPr>
              <w:t>08</w:t>
            </w:r>
            <w:r w:rsidRPr="00BE3FA6">
              <w:rPr>
                <w:rFonts w:ascii="Times New Roman" w:eastAsia="Times New Roman" w:hAnsi="Times New Roman" w:cs="Times New Roman"/>
                <w:sz w:val="18"/>
                <w:szCs w:val="18"/>
              </w:rPr>
              <w:t xml:space="preserve">”, o projektowanej powierzchni użytkowej </w:t>
            </w:r>
            <w:r w:rsidR="00683CF6" w:rsidRPr="00BE3FA6">
              <w:rPr>
                <w:rFonts w:ascii="Times New Roman" w:eastAsia="Times New Roman" w:hAnsi="Times New Roman" w:cs="Times New Roman"/>
                <w:sz w:val="18"/>
                <w:szCs w:val="18"/>
              </w:rPr>
              <w:t xml:space="preserve">122,23 </w:t>
            </w:r>
            <w:r w:rsidRPr="00BE3FA6">
              <w:rPr>
                <w:rFonts w:ascii="Times New Roman" w:eastAsia="Times New Roman" w:hAnsi="Times New Roman" w:cs="Times New Roman"/>
                <w:sz w:val="18"/>
                <w:szCs w:val="18"/>
              </w:rPr>
              <w:t>m</w:t>
            </w:r>
            <w:r w:rsidRPr="00BE3FA6">
              <w:rPr>
                <w:rFonts w:ascii="Times New Roman" w:eastAsia="Times New Roman" w:hAnsi="Times New Roman" w:cs="Times New Roman"/>
                <w:sz w:val="18"/>
                <w:szCs w:val="18"/>
                <w:vertAlign w:val="superscript"/>
              </w:rPr>
              <w:t>2</w:t>
            </w:r>
          </w:p>
          <w:p w14:paraId="7E4A9DA4" w14:textId="77777777" w:rsidR="00402003" w:rsidRPr="00B0230E" w:rsidRDefault="00402003" w:rsidP="004E3F9A">
            <w:pPr>
              <w:spacing w:beforeLines="60" w:before="144" w:afterLines="60" w:after="144" w:line="240" w:lineRule="auto"/>
              <w:jc w:val="both"/>
              <w:rPr>
                <w:rFonts w:ascii="Times New Roman" w:eastAsia="Times New Roman" w:hAnsi="Times New Roman" w:cs="Times New Roman"/>
                <w:color w:val="EE0000"/>
                <w:sz w:val="18"/>
                <w:szCs w:val="18"/>
              </w:rPr>
            </w:pPr>
          </w:p>
          <w:p w14:paraId="5EBF2E0F" w14:textId="77777777" w:rsidR="00D37604" w:rsidRPr="00B0230E" w:rsidRDefault="00D37604" w:rsidP="00D47BA8">
            <w:pPr>
              <w:spacing w:beforeLines="60" w:before="144" w:afterLines="60" w:after="144" w:line="240" w:lineRule="auto"/>
              <w:jc w:val="both"/>
              <w:rPr>
                <w:rFonts w:ascii="Times New Roman" w:eastAsia="Times New Roman" w:hAnsi="Times New Roman" w:cs="Times New Roman"/>
                <w:color w:val="EE0000"/>
                <w:sz w:val="18"/>
                <w:szCs w:val="18"/>
              </w:rPr>
            </w:pPr>
          </w:p>
        </w:tc>
      </w:tr>
      <w:tr w:rsidR="00D37604" w:rsidRPr="00EA1C22" w14:paraId="6581CD93" w14:textId="77777777" w:rsidTr="00AA531E">
        <w:trPr>
          <w:trHeight w:val="488"/>
        </w:trPr>
        <w:tc>
          <w:tcPr>
            <w:tcW w:w="2405" w:type="dxa"/>
            <w:shd w:val="clear" w:color="auto" w:fill="F3F3F3"/>
          </w:tcPr>
          <w:p w14:paraId="0B51F96B"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Sposób pomiaru powierzchni użytkowej</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lokalu mieszkalnego albo domu jednorodzinnego</w:t>
            </w:r>
          </w:p>
        </w:tc>
        <w:tc>
          <w:tcPr>
            <w:tcW w:w="7243" w:type="dxa"/>
            <w:gridSpan w:val="2"/>
          </w:tcPr>
          <w:p w14:paraId="62DA231C" w14:textId="24CC1277" w:rsidR="00D37604" w:rsidRPr="00DF2913" w:rsidRDefault="00DF2913" w:rsidP="00D37604">
            <w:pPr>
              <w:spacing w:beforeLines="60" w:before="144" w:afterLines="60" w:after="144" w:line="240" w:lineRule="auto"/>
              <w:jc w:val="both"/>
              <w:rPr>
                <w:rFonts w:ascii="Times New Roman" w:eastAsia="Times New Roman" w:hAnsi="Times New Roman" w:cs="Times New Roman"/>
                <w:sz w:val="18"/>
                <w:szCs w:val="18"/>
              </w:rPr>
            </w:pPr>
            <w:r w:rsidRPr="00DF2913">
              <w:rPr>
                <w:rFonts w:ascii="Times New Roman" w:eastAsia="Times New Roman" w:hAnsi="Times New Roman" w:cs="Times New Roman"/>
                <w:sz w:val="18"/>
                <w:szCs w:val="18"/>
              </w:rPr>
              <w:t xml:space="preserve">Pomiar powierzchni wg normy </w:t>
            </w:r>
            <w:r w:rsidR="00174AA6" w:rsidRPr="00174AA6">
              <w:rPr>
                <w:rFonts w:ascii="Times New Roman" w:eastAsia="Times New Roman" w:hAnsi="Times New Roman" w:cs="Times New Roman"/>
                <w:sz w:val="18"/>
                <w:szCs w:val="18"/>
              </w:rPr>
              <w:t>PN-ISO 9836:2022-07</w:t>
            </w:r>
          </w:p>
        </w:tc>
      </w:tr>
      <w:tr w:rsidR="00D37604" w:rsidRPr="00EA1C22" w14:paraId="51108C97" w14:textId="77777777" w:rsidTr="00AA531E">
        <w:tc>
          <w:tcPr>
            <w:tcW w:w="2405" w:type="dxa"/>
            <w:vMerge w:val="restart"/>
            <w:shd w:val="clear" w:color="auto" w:fill="F3F3F3"/>
          </w:tcPr>
          <w:p w14:paraId="3FB86987"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Zamierzony sposób i procentowy udział źródeł finansowania przedsięwzięcia deweloperskiego lub zadania inwestycyjnego</w:t>
            </w:r>
          </w:p>
          <w:p w14:paraId="20B533D1"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62918F3F" w14:textId="77777777" w:rsidR="00D37604" w:rsidRPr="00EA1C22" w:rsidDel="00E703EC"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Rodzaj posiadanych środków finansowych – kredyt, środki własne, inne</w:t>
            </w:r>
          </w:p>
        </w:tc>
        <w:tc>
          <w:tcPr>
            <w:tcW w:w="5117" w:type="dxa"/>
          </w:tcPr>
          <w:p w14:paraId="0531582E" w14:textId="67C01BB9" w:rsidR="00D37604" w:rsidRPr="00DF2913" w:rsidRDefault="00DF2913" w:rsidP="00D37604">
            <w:pPr>
              <w:spacing w:beforeLines="60" w:before="144" w:afterLines="60" w:after="144" w:line="240" w:lineRule="auto"/>
              <w:jc w:val="both"/>
              <w:rPr>
                <w:rFonts w:ascii="Times New Roman" w:eastAsia="Times New Roman" w:hAnsi="Times New Roman" w:cs="Times New Roman"/>
                <w:color w:val="FF0000"/>
                <w:sz w:val="18"/>
                <w:szCs w:val="18"/>
              </w:rPr>
            </w:pPr>
            <w:r w:rsidRPr="00DD0CA1">
              <w:rPr>
                <w:rFonts w:ascii="Times New Roman" w:eastAsia="Times New Roman" w:hAnsi="Times New Roman" w:cs="Times New Roman"/>
                <w:sz w:val="18"/>
                <w:szCs w:val="18"/>
              </w:rPr>
              <w:t>Środki własne - 40%, pozostałe środki - z wpłat nabywców.</w:t>
            </w:r>
          </w:p>
        </w:tc>
      </w:tr>
      <w:tr w:rsidR="00D37604" w:rsidRPr="00EA1C22" w14:paraId="58B50B2A" w14:textId="77777777" w:rsidTr="00AA531E">
        <w:tc>
          <w:tcPr>
            <w:tcW w:w="2405" w:type="dxa"/>
            <w:vMerge/>
            <w:shd w:val="clear" w:color="auto" w:fill="F3F3F3"/>
          </w:tcPr>
          <w:p w14:paraId="02EE5952"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0CE557D0"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następujących instytucjach finansowych (wypełnia się w przypadku kredytu)</w:t>
            </w:r>
          </w:p>
        </w:tc>
        <w:tc>
          <w:tcPr>
            <w:tcW w:w="5117" w:type="dxa"/>
          </w:tcPr>
          <w:p w14:paraId="556682CE" w14:textId="36ACC0F0" w:rsidR="00D37604" w:rsidRPr="00DF2913" w:rsidRDefault="00D37604" w:rsidP="00D37604">
            <w:pPr>
              <w:spacing w:beforeLines="60" w:before="144" w:afterLines="60" w:after="144" w:line="240" w:lineRule="auto"/>
              <w:jc w:val="both"/>
              <w:rPr>
                <w:rFonts w:ascii="Times New Roman" w:eastAsia="Times New Roman" w:hAnsi="Times New Roman" w:cs="Times New Roman"/>
                <w:sz w:val="18"/>
                <w:szCs w:val="18"/>
              </w:rPr>
            </w:pPr>
          </w:p>
        </w:tc>
      </w:tr>
      <w:tr w:rsidR="00DF2913" w:rsidRPr="00EA1C22" w14:paraId="63346999" w14:textId="77777777" w:rsidTr="00AA531E">
        <w:trPr>
          <w:trHeight w:val="1481"/>
        </w:trPr>
        <w:tc>
          <w:tcPr>
            <w:tcW w:w="2405" w:type="dxa"/>
            <w:vMerge w:val="restart"/>
            <w:shd w:val="clear" w:color="auto" w:fill="F3F3F3"/>
          </w:tcPr>
          <w:p w14:paraId="347A4238" w14:textId="77777777" w:rsidR="00DF2913" w:rsidRPr="00EA1C22" w:rsidRDefault="00DF2913"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ochrony nabywców</w:t>
            </w:r>
          </w:p>
        </w:tc>
        <w:tc>
          <w:tcPr>
            <w:tcW w:w="7243" w:type="dxa"/>
            <w:gridSpan w:val="2"/>
          </w:tcPr>
          <w:p w14:paraId="06B7A56F" w14:textId="77777777" w:rsidR="00DF2913" w:rsidRPr="00DF2913" w:rsidRDefault="00DF2913" w:rsidP="00D37604">
            <w:pPr>
              <w:spacing w:beforeLines="60" w:before="144" w:afterLines="60" w:after="144" w:line="240" w:lineRule="auto"/>
              <w:jc w:val="both"/>
              <w:rPr>
                <w:rFonts w:ascii="Times New Roman" w:eastAsia="Times New Roman" w:hAnsi="Times New Roman" w:cs="Times New Roman"/>
                <w:sz w:val="20"/>
                <w:szCs w:val="20"/>
              </w:rPr>
            </w:pPr>
            <w:r w:rsidRPr="00DF2913">
              <w:rPr>
                <w:rFonts w:ascii="Times New Roman" w:eastAsia="Times New Roman" w:hAnsi="Times New Roman" w:cs="Times New Roman"/>
                <w:sz w:val="20"/>
                <w:szCs w:val="20"/>
              </w:rPr>
              <w:t>Otwarty mieszkaniowy rachunek powierniczy*</w:t>
            </w:r>
          </w:p>
          <w:p w14:paraId="4C9AA18D" w14:textId="7CC40318" w:rsidR="00DF2913" w:rsidRPr="00DF2913" w:rsidRDefault="00DF2913" w:rsidP="00D37604">
            <w:pPr>
              <w:spacing w:beforeLines="60" w:before="144" w:afterLines="60" w:after="144" w:line="240" w:lineRule="auto"/>
              <w:jc w:val="both"/>
              <w:rPr>
                <w:rFonts w:ascii="Times New Roman" w:eastAsia="Times New Roman" w:hAnsi="Times New Roman" w:cs="Times New Roman"/>
                <w:strike/>
                <w:sz w:val="18"/>
                <w:szCs w:val="18"/>
              </w:rPr>
            </w:pPr>
            <w:r w:rsidRPr="00DF2913">
              <w:rPr>
                <w:rFonts w:ascii="Times New Roman" w:eastAsia="Times New Roman" w:hAnsi="Times New Roman" w:cs="Times New Roman"/>
                <w:strike/>
                <w:sz w:val="20"/>
                <w:szCs w:val="20"/>
              </w:rPr>
              <w:t>Zamknięty mieszkaniowy rachunek powierniczy*</w:t>
            </w:r>
          </w:p>
        </w:tc>
      </w:tr>
      <w:tr w:rsidR="00D37604" w:rsidRPr="00EA1C22" w14:paraId="4536658B" w14:textId="77777777" w:rsidTr="00AA531E">
        <w:tc>
          <w:tcPr>
            <w:tcW w:w="2405" w:type="dxa"/>
            <w:vMerge/>
            <w:shd w:val="clear" w:color="auto" w:fill="F3F3F3"/>
          </w:tcPr>
          <w:p w14:paraId="6CC40871"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c>
          <w:tcPr>
            <w:tcW w:w="2126" w:type="dxa"/>
          </w:tcPr>
          <w:p w14:paraId="3784CC8A"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Wysokość stawki procentowej, według której jest obliczana kwota składki na Deweloperski Fundusz Gwarancyjny</w:t>
            </w:r>
            <w:r w:rsidRPr="00EA1C22">
              <w:rPr>
                <w:rFonts w:ascii="Times New Roman" w:eastAsia="Times New Roman" w:hAnsi="Times New Roman" w:cs="Times New Roman"/>
                <w:sz w:val="20"/>
                <w:szCs w:val="20"/>
                <w:vertAlign w:val="superscript"/>
              </w:rPr>
              <w:footnoteReference w:customMarkFollows="1" w:id="8"/>
              <w:t>6)</w:t>
            </w:r>
            <w:r w:rsidRPr="00EA1C22">
              <w:rPr>
                <w:rFonts w:ascii="Times New Roman" w:eastAsia="Times New Roman" w:hAnsi="Times New Roman" w:cs="Times New Roman"/>
                <w:sz w:val="20"/>
                <w:szCs w:val="20"/>
              </w:rPr>
              <w:t xml:space="preserve"> </w:t>
            </w:r>
          </w:p>
        </w:tc>
        <w:tc>
          <w:tcPr>
            <w:tcW w:w="5117" w:type="dxa"/>
          </w:tcPr>
          <w:p w14:paraId="7CA79CC6" w14:textId="5F147FAD" w:rsidR="00D37604" w:rsidRPr="00DF2913" w:rsidRDefault="00DF2913" w:rsidP="00D37604">
            <w:pPr>
              <w:spacing w:beforeLines="60" w:before="144" w:afterLines="60" w:after="144" w:line="240" w:lineRule="auto"/>
              <w:jc w:val="both"/>
              <w:rPr>
                <w:rFonts w:ascii="Times New Roman" w:eastAsia="Times New Roman" w:hAnsi="Times New Roman" w:cs="Times New Roman"/>
                <w:sz w:val="18"/>
                <w:szCs w:val="18"/>
              </w:rPr>
            </w:pPr>
            <w:r w:rsidRPr="00DF2913">
              <w:rPr>
                <w:rFonts w:ascii="Times New Roman" w:eastAsia="Times New Roman" w:hAnsi="Times New Roman" w:cs="Times New Roman"/>
                <w:sz w:val="18"/>
                <w:szCs w:val="18"/>
              </w:rPr>
              <w:t>0,45%</w:t>
            </w:r>
          </w:p>
        </w:tc>
      </w:tr>
      <w:tr w:rsidR="00D37604" w:rsidRPr="00EA1C22" w14:paraId="0F42FB7A" w14:textId="77777777" w:rsidTr="00AA531E">
        <w:trPr>
          <w:trHeight w:val="1167"/>
        </w:trPr>
        <w:tc>
          <w:tcPr>
            <w:tcW w:w="2405" w:type="dxa"/>
            <w:shd w:val="clear" w:color="auto" w:fill="F3F3F3"/>
          </w:tcPr>
          <w:p w14:paraId="52E26B06"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Główne zasady funkcjonowania wybranego rodzaju zabezpieczenia środków nabywcy</w:t>
            </w:r>
          </w:p>
        </w:tc>
        <w:tc>
          <w:tcPr>
            <w:tcW w:w="7243" w:type="dxa"/>
            <w:gridSpan w:val="2"/>
          </w:tcPr>
          <w:p w14:paraId="6D7727E9" w14:textId="53FE72AF" w:rsidR="00D37604" w:rsidRPr="00EA1C22" w:rsidRDefault="00DF2913" w:rsidP="00D37604">
            <w:pPr>
              <w:spacing w:beforeLines="60" w:before="144" w:afterLines="60" w:after="144" w:line="240" w:lineRule="auto"/>
              <w:jc w:val="both"/>
              <w:rPr>
                <w:rFonts w:ascii="Times New Roman" w:eastAsia="Times New Roman" w:hAnsi="Times New Roman" w:cs="Times New Roman"/>
                <w:sz w:val="20"/>
                <w:szCs w:val="20"/>
              </w:rPr>
            </w:pPr>
            <w:r w:rsidRPr="00DF2913">
              <w:rPr>
                <w:rFonts w:ascii="Times New Roman" w:eastAsia="Times New Roman" w:hAnsi="Times New Roman" w:cs="Times New Roman"/>
                <w:sz w:val="20"/>
                <w:szCs w:val="20"/>
              </w:rPr>
              <w:t>Środki Nabywców są przelewane na rachunek Dewelopera po uprzednim pozytywnym zatwierdzeniu zaawansowania inwestycji zgodnie z harmonogramem przez przedstawiciela banku.</w:t>
            </w:r>
          </w:p>
        </w:tc>
      </w:tr>
      <w:tr w:rsidR="00D37604" w:rsidRPr="00EA1C22" w14:paraId="1EC1535C" w14:textId="77777777" w:rsidTr="00AA531E">
        <w:trPr>
          <w:trHeight w:val="293"/>
        </w:trPr>
        <w:tc>
          <w:tcPr>
            <w:tcW w:w="2405" w:type="dxa"/>
            <w:shd w:val="clear" w:color="auto" w:fill="F3F3F3"/>
          </w:tcPr>
          <w:p w14:paraId="17B6251B"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Nazwa instytucji zapewniającej bezpieczeństwo środków nabywcy</w:t>
            </w:r>
          </w:p>
        </w:tc>
        <w:tc>
          <w:tcPr>
            <w:tcW w:w="7243" w:type="dxa"/>
            <w:gridSpan w:val="2"/>
          </w:tcPr>
          <w:p w14:paraId="41BA2F9C" w14:textId="5F24A123" w:rsidR="00D37604" w:rsidRPr="00EA1C22" w:rsidRDefault="00DF2913" w:rsidP="00D37604">
            <w:pPr>
              <w:spacing w:beforeLines="60" w:before="144" w:afterLines="60" w:after="144" w:line="240" w:lineRule="auto"/>
              <w:jc w:val="both"/>
              <w:rPr>
                <w:rFonts w:ascii="Times New Roman" w:eastAsia="Times New Roman" w:hAnsi="Times New Roman" w:cs="Times New Roman"/>
                <w:sz w:val="20"/>
                <w:szCs w:val="20"/>
              </w:rPr>
            </w:pPr>
            <w:r w:rsidRPr="00DF2913">
              <w:rPr>
                <w:rFonts w:ascii="Times New Roman" w:eastAsia="Times New Roman" w:hAnsi="Times New Roman" w:cs="Times New Roman"/>
                <w:sz w:val="20"/>
                <w:szCs w:val="20"/>
              </w:rPr>
              <w:t>Spółdzielczy Bank Rozwoju w Szepietowie</w:t>
            </w:r>
          </w:p>
        </w:tc>
      </w:tr>
      <w:tr w:rsidR="00D37604" w:rsidRPr="00EA1C22" w14:paraId="7CBB870C" w14:textId="77777777" w:rsidTr="00AA531E">
        <w:trPr>
          <w:trHeight w:val="488"/>
        </w:trPr>
        <w:tc>
          <w:tcPr>
            <w:tcW w:w="2405" w:type="dxa"/>
            <w:shd w:val="clear" w:color="auto" w:fill="F3F3F3"/>
          </w:tcPr>
          <w:p w14:paraId="79A7A22C"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Harmonogram przedsięwzięcia deweloperskiego lub</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zadania inwestycyjnego</w:t>
            </w:r>
          </w:p>
        </w:tc>
        <w:tc>
          <w:tcPr>
            <w:tcW w:w="7243" w:type="dxa"/>
            <w:gridSpan w:val="2"/>
          </w:tcPr>
          <w:p w14:paraId="1CF3FC6C" w14:textId="71B7FD85" w:rsidR="00D37604" w:rsidRPr="00683CF6" w:rsidRDefault="0066098B" w:rsidP="00D37604">
            <w:pPr>
              <w:spacing w:beforeLines="60" w:before="144" w:afterLines="60" w:after="144" w:line="240" w:lineRule="auto"/>
              <w:jc w:val="both"/>
              <w:rPr>
                <w:rFonts w:ascii="Times New Roman" w:eastAsia="Times New Roman" w:hAnsi="Times New Roman" w:cs="Times New Roman"/>
                <w:b/>
                <w:bCs/>
                <w:sz w:val="20"/>
                <w:szCs w:val="20"/>
              </w:rPr>
            </w:pPr>
            <w:r w:rsidRPr="00683CF6">
              <w:rPr>
                <w:rFonts w:ascii="Times New Roman" w:eastAsia="Times New Roman" w:hAnsi="Times New Roman" w:cs="Times New Roman"/>
                <w:b/>
                <w:bCs/>
                <w:sz w:val="20"/>
                <w:szCs w:val="20"/>
              </w:rPr>
              <w:t>Segmenty 0</w:t>
            </w:r>
            <w:r w:rsidR="00174AA6" w:rsidRPr="00683CF6">
              <w:rPr>
                <w:rFonts w:ascii="Times New Roman" w:eastAsia="Times New Roman" w:hAnsi="Times New Roman" w:cs="Times New Roman"/>
                <w:b/>
                <w:bCs/>
                <w:sz w:val="20"/>
                <w:szCs w:val="20"/>
              </w:rPr>
              <w:t>3</w:t>
            </w:r>
            <w:r w:rsidRPr="00683CF6">
              <w:rPr>
                <w:rFonts w:ascii="Times New Roman" w:eastAsia="Times New Roman" w:hAnsi="Times New Roman" w:cs="Times New Roman"/>
                <w:b/>
                <w:bCs/>
                <w:sz w:val="20"/>
                <w:szCs w:val="20"/>
              </w:rPr>
              <w:t xml:space="preserve"> – </w:t>
            </w:r>
            <w:r w:rsidR="00174AA6" w:rsidRPr="00683CF6">
              <w:rPr>
                <w:rFonts w:ascii="Times New Roman" w:eastAsia="Times New Roman" w:hAnsi="Times New Roman" w:cs="Times New Roman"/>
                <w:b/>
                <w:bCs/>
                <w:sz w:val="20"/>
                <w:szCs w:val="20"/>
              </w:rPr>
              <w:t>08</w:t>
            </w:r>
          </w:p>
          <w:p w14:paraId="2BBF951F" w14:textId="01F3ABE3"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a) I Etap 10% – Przygotowanie placu budowy, roboty ziemne (16.07.2025 - 31.08.2025)</w:t>
            </w:r>
          </w:p>
          <w:p w14:paraId="6FC88294" w14:textId="77777777"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p>
          <w:p w14:paraId="7A464A11" w14:textId="29D4F2CC"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 xml:space="preserve">b) II Etap 20% – Stan zerowy budynku: fundamenty, ściany podziemia, izolacje </w:t>
            </w:r>
            <w:r w:rsidRPr="00683CF6">
              <w:rPr>
                <w:rFonts w:ascii="Times New Roman" w:hAnsi="Times New Roman" w:cs="Times New Roman"/>
                <w:b/>
                <w:bCs/>
                <w:sz w:val="20"/>
                <w:szCs w:val="20"/>
              </w:rPr>
              <w:lastRenderedPageBreak/>
              <w:t>przeciwwilgociowe (31.08.2025-30.09.2025)</w:t>
            </w:r>
          </w:p>
          <w:p w14:paraId="75947A5D" w14:textId="77777777"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p>
          <w:p w14:paraId="5C273C4B" w14:textId="2AAF9798"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c) III Etap 20% - Ściany parteru i stropu parteru, schody i podesty (30.09.2025 -15.12.2025)</w:t>
            </w:r>
          </w:p>
          <w:p w14:paraId="6840E27C" w14:textId="77777777"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p>
          <w:p w14:paraId="1C3D95B3" w14:textId="7E2E4C0D"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d) IV Etap 20% - Ściany konstrukcyjne piętra, stropy, sklepienia (15.12.2025 -28.02.2026)</w:t>
            </w:r>
          </w:p>
          <w:p w14:paraId="01A4C807" w14:textId="77777777"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p>
          <w:p w14:paraId="299A5969" w14:textId="01009F32"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e) V Etap 10% – Stan wykończeniowy, dach - konstrukcja, dach - pokrycie, obróbki, okna, ścianki działowe (28.02.2026 - 15.05.2026)</w:t>
            </w:r>
          </w:p>
          <w:p w14:paraId="2164D2B6" w14:textId="77777777"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p>
          <w:p w14:paraId="33F44C9F" w14:textId="0AF968C2"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f) VI Etap 10% - Instalacje: wodno-kanalizacyjne, elektryczna i teletechniczna, podłoża i posadzki, drzwi zewnętrzne</w:t>
            </w:r>
            <w:r w:rsidR="001F6767">
              <w:rPr>
                <w:rFonts w:ascii="Times New Roman" w:hAnsi="Times New Roman" w:cs="Times New Roman"/>
                <w:b/>
                <w:bCs/>
                <w:sz w:val="20"/>
                <w:szCs w:val="20"/>
              </w:rPr>
              <w:t xml:space="preserve"> i bramy garażowe</w:t>
            </w:r>
            <w:r w:rsidRPr="00683CF6">
              <w:rPr>
                <w:rFonts w:ascii="Times New Roman" w:hAnsi="Times New Roman" w:cs="Times New Roman"/>
                <w:b/>
                <w:bCs/>
                <w:sz w:val="20"/>
                <w:szCs w:val="20"/>
              </w:rPr>
              <w:t>, tynki i oblicowania (15.05.2026 – 31.07.2026)</w:t>
            </w:r>
          </w:p>
          <w:p w14:paraId="3E2C504F" w14:textId="77777777" w:rsidR="00683CF6"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 xml:space="preserve"> </w:t>
            </w:r>
          </w:p>
          <w:p w14:paraId="6E0E2A81" w14:textId="6D374A59" w:rsidR="00794529" w:rsidRPr="00683CF6" w:rsidRDefault="00683CF6" w:rsidP="00683CF6">
            <w:pPr>
              <w:widowControl w:val="0"/>
              <w:numPr>
                <w:ilvl w:val="0"/>
                <w:numId w:val="6"/>
              </w:numPr>
              <w:suppressAutoHyphens/>
              <w:autoSpaceDN w:val="0"/>
              <w:spacing w:after="0" w:line="240" w:lineRule="auto"/>
              <w:textAlignment w:val="baseline"/>
              <w:rPr>
                <w:rFonts w:ascii="Times New Roman" w:hAnsi="Times New Roman" w:cs="Times New Roman"/>
                <w:b/>
                <w:bCs/>
                <w:sz w:val="20"/>
                <w:szCs w:val="20"/>
              </w:rPr>
            </w:pPr>
            <w:r w:rsidRPr="00683CF6">
              <w:rPr>
                <w:rFonts w:ascii="Times New Roman" w:hAnsi="Times New Roman" w:cs="Times New Roman"/>
                <w:b/>
                <w:bCs/>
                <w:sz w:val="20"/>
                <w:szCs w:val="20"/>
              </w:rPr>
              <w:t>g) VII Etap 10% – Elewacje, centralne ogrzewanie, wykonanie sieci zewnętrznych i zagospodarowania terenu, kostka brukowa (podjazdy), różne roboty wewnętrzne (31.07.2026 – 30.09.2026)</w:t>
            </w:r>
          </w:p>
          <w:p w14:paraId="2F056334" w14:textId="757BB9B1" w:rsidR="00794529" w:rsidRPr="00B0230E" w:rsidRDefault="00794529" w:rsidP="00174AA6">
            <w:pPr>
              <w:widowControl w:val="0"/>
              <w:numPr>
                <w:ilvl w:val="0"/>
                <w:numId w:val="6"/>
              </w:numPr>
              <w:suppressAutoHyphens/>
              <w:autoSpaceDN w:val="0"/>
              <w:spacing w:after="0" w:line="240" w:lineRule="auto"/>
              <w:textAlignment w:val="baseline"/>
              <w:rPr>
                <w:rFonts w:ascii="Times New Roman" w:eastAsia="Times New Roman" w:hAnsi="Times New Roman" w:cs="Times New Roman"/>
                <w:b/>
                <w:bCs/>
                <w:color w:val="EE0000"/>
                <w:sz w:val="20"/>
                <w:szCs w:val="20"/>
              </w:rPr>
            </w:pPr>
          </w:p>
        </w:tc>
      </w:tr>
      <w:tr w:rsidR="00D37604" w:rsidRPr="00EA1C22" w14:paraId="6861A607" w14:textId="77777777" w:rsidTr="00AA531E">
        <w:trPr>
          <w:trHeight w:val="292"/>
        </w:trPr>
        <w:tc>
          <w:tcPr>
            <w:tcW w:w="2405" w:type="dxa"/>
            <w:shd w:val="clear" w:color="auto" w:fill="F3F3F3"/>
          </w:tcPr>
          <w:p w14:paraId="4138CA4D" w14:textId="77777777" w:rsidR="00D37604" w:rsidRPr="00EA1C22" w:rsidRDefault="00D37604" w:rsidP="00D37604">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Dopuszczenie waloryzacji ceny oraz określenie zasad waloryzacji</w:t>
            </w:r>
          </w:p>
        </w:tc>
        <w:tc>
          <w:tcPr>
            <w:tcW w:w="7243" w:type="dxa"/>
            <w:gridSpan w:val="2"/>
          </w:tcPr>
          <w:p w14:paraId="3AB5B807"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tc>
      </w:tr>
      <w:tr w:rsidR="00D37604" w:rsidRPr="00EA1C22" w14:paraId="0FB6B19E" w14:textId="77777777" w:rsidTr="002568E5">
        <w:tc>
          <w:tcPr>
            <w:tcW w:w="9648" w:type="dxa"/>
            <w:gridSpan w:val="3"/>
            <w:tcBorders>
              <w:bottom w:val="single" w:sz="4" w:space="0" w:color="auto"/>
            </w:tcBorders>
            <w:shd w:val="clear" w:color="auto" w:fill="E0E0E0"/>
          </w:tcPr>
          <w:p w14:paraId="052B514F"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WARUNKI ODSTĄPIENIA OD UMOWY DEWELOPERSKIEJ LUB UMOWY, O KTÓREJ MOWA W ART. 2 UST. 1 PKT 2, 3 LUB 5 USTAWY Z DNIA ….</w:t>
            </w:r>
            <w:r>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 OCHRONIE PRAW NABYWCY LOKALU MIESZKALNEGO LUB DOMU JEDNORODZINNEGO ORAZ O DEWELOPERSKIM FUNDUSZU GWARANCYJNYM (Dz. U.</w:t>
            </w:r>
            <w:r>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w:t>
            </w:r>
          </w:p>
          <w:p w14:paraId="69DAF35A"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b/>
                <w:sz w:val="20"/>
                <w:szCs w:val="20"/>
              </w:rPr>
            </w:pPr>
          </w:p>
        </w:tc>
      </w:tr>
      <w:tr w:rsidR="00D37604" w:rsidRPr="00EA1C22" w14:paraId="07A04DB2" w14:textId="77777777" w:rsidTr="00AA531E">
        <w:trPr>
          <w:trHeight w:val="1512"/>
        </w:trPr>
        <w:tc>
          <w:tcPr>
            <w:tcW w:w="2405" w:type="dxa"/>
            <w:tcBorders>
              <w:bottom w:val="single" w:sz="4" w:space="0" w:color="auto"/>
            </w:tcBorders>
            <w:shd w:val="clear" w:color="auto" w:fill="F3F3F3"/>
          </w:tcPr>
          <w:p w14:paraId="6EC8BFC8" w14:textId="77777777" w:rsidR="00D37604" w:rsidRPr="00EA1C22" w:rsidRDefault="00D37604" w:rsidP="00AA531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Należy opisać, na jakich warunkach można odstąpić od umowy deweloperskiej lub jednej z umów, o których mowa w art. 2 ust. 1 pkt 2, 3 lub</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5 ustawy z dnia … o ochronie praw nabywcy lokalu mieszkalnego lub domu jednorodzinnego oraz o Deweloperskim Funduszu Gwarancyjnym</w:t>
            </w:r>
          </w:p>
        </w:tc>
        <w:tc>
          <w:tcPr>
            <w:tcW w:w="7243" w:type="dxa"/>
            <w:gridSpan w:val="2"/>
          </w:tcPr>
          <w:p w14:paraId="6032CC18"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 xml:space="preserve">Art. 43. 1. Nabywca ma prawo odstąpić od umowy deweloperskiej albo umowy, o której mowa w art. 2 ust. 1 pkt 2, 3 lub 5: </w:t>
            </w:r>
          </w:p>
          <w:p w14:paraId="31C2758D" w14:textId="28264BB3"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1) jeżeli umowa deweloperska albo umowa, o której mowa w art. 2 ust. 1 pkt 2, 3 lub 5, nie zawiera odpowiednio elementów, o których mowa w art. 35, albo elementów, o których mowa w art. 36;</w:t>
            </w:r>
          </w:p>
          <w:p w14:paraId="0C757D49" w14:textId="600A89A3"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2) jeżeli informacje zawarte w umowie deweloperskiej albo umowie, o której mowa w art. 2 ust. 1 pkt 2, 3 lub 5, nie są zgodne z informacjami zawartymi w prospekcie informacyjnym lub jego załącznikach, z wyjątkiem zmian, o których mowa w art. 35 ust. 2;</w:t>
            </w:r>
          </w:p>
          <w:p w14:paraId="12540FB2"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3) jeżeli deweloper nie doręczył zgodnie z art. 21 lub art. 22 prospektu informacyjnego wraz z załącznikami lub informacji o zmianie danych lub informacji zawartych w prospekcie informacyjnym lub jego załącznikach;</w:t>
            </w:r>
          </w:p>
          <w:p w14:paraId="3DEADFA7"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4) jeżeli dane lub informacje zawarte w prospekcie informacyjnym lub jego załącznikach, na podstawie których zawarto</w:t>
            </w:r>
          </w:p>
          <w:p w14:paraId="7CE0FBE0" w14:textId="6B738E5F"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umowę deweloperską albo umowę, o której mowa w art. 2 ust. 1 pkt 2, 3 lub 5, są niezgodne ze stanem faktycznym lub prawnym w dniu zawarcia umowy;</w:t>
            </w:r>
          </w:p>
          <w:p w14:paraId="516AA9C9" w14:textId="19A6005B"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5) jeżeli prospekt informacyjny, na podstawie którego zawarto umowę deweloperską albo umowę, o której mowa w art. 2 ust. 1 pkt 2, 3 lub 5, nie zawiera danych lub informacji określonych we wzorze prospektu informacyjnego;</w:t>
            </w:r>
          </w:p>
          <w:p w14:paraId="1DD2AA73" w14:textId="1258C311"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6) w przypadku nieprzeniesienia na nabywcę praw wynikających z umowy deweloperskiej albo umowy, o której mowa w art. 2 ust. 1 pkt 2, 3 lub 5, w terminie wynikającym z tych umów;</w:t>
            </w:r>
          </w:p>
          <w:p w14:paraId="2F9EADAC" w14:textId="2277D666"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7) w przypadku gdy deweloper nie zawrze umowy mieszkaniowego rachunku powierniczego z innym bankiem w trybie i terminie, o których mowa w art. 10 ust. 1;</w:t>
            </w:r>
          </w:p>
          <w:p w14:paraId="7579738D"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8) w przypadku gdy deweloper nie posiada zgody wierzyciela hipotecznego lub zobowiązania do jej udzielenia, o których mowa w art. 25 ust. 1 pkt 1 lub 2;</w:t>
            </w:r>
          </w:p>
          <w:p w14:paraId="39863C89" w14:textId="516966D1"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9) w przypadku niewykonania przez dewelopera obowiązku, o którym mowa w art. 12 ust. 2, w terminie określonym w tym przepisie;</w:t>
            </w:r>
          </w:p>
          <w:p w14:paraId="6DCD327A"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lastRenderedPageBreak/>
              <w:t>10) w przypadku nieusunięcia przez dewelopera wady istotnej lokalu mieszkalnego albo domu jednorodzinnego na zasadach określonych w art. 41 ust. 11;</w:t>
            </w:r>
          </w:p>
          <w:p w14:paraId="741662EF"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11) w przypadku stwierdzenia przez rzeczoznawcę istnienia wady istotnej, o którym mowa w art. 41 ust. 15;</w:t>
            </w:r>
          </w:p>
          <w:p w14:paraId="19DE6B54" w14:textId="7777777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12) jeżeli syndyk zażądał wykonania umowy na podstawie art. 98 ustawy z dnia 28 lutego 2003 r. – Prawo upadłościowe.</w:t>
            </w:r>
          </w:p>
          <w:p w14:paraId="10D047CE" w14:textId="5DCC6FB4"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2. W przypadkach, o których mowa w ust. 1 pkt 1–5, nabywca ma prawo odstąpienia od umowy deweloperskiej albo umowy, o której mowa w art. 2 ust. 1 pkt 2, 3 lub 5, w terminie 30 dni od dnia jej zawarcia.</w:t>
            </w:r>
          </w:p>
          <w:p w14:paraId="4CDD6F74" w14:textId="4AC8D012"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182C3FF2" w14:textId="667CD5A7"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4. W przypadku, o którym mowa w ust. 1 pkt 7, nabywca ma prawo odstąpienia od umowy deweloperskiej albo umowy, o której mowa w art. 2 ust. 1 pkt 2, 3 lub 5, po dokonaniu przez bank zwrotu środków zgodnie z art. 10 ust. 3.</w:t>
            </w:r>
          </w:p>
          <w:p w14:paraId="66460635" w14:textId="24BFDA62" w:rsidR="00AA531E" w:rsidRP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5. W przypadku, o którym mowa w ust. 1 pkt 8, nabywca ma prawo odstąpienia od umowy deweloperskiej albo umowy, o której mowa w art. 2 ust. 1 pkt 2, 3 lub 5, w terminie 60 dni od dnia jej zawarcia.</w:t>
            </w:r>
          </w:p>
          <w:p w14:paraId="02035591" w14:textId="29D8AB79" w:rsidR="00AA531E" w:rsidRDefault="00AA531E" w:rsidP="00AA531E">
            <w:pPr>
              <w:spacing w:beforeLines="60" w:before="144" w:afterLines="60" w:after="144" w:line="240" w:lineRule="auto"/>
              <w:jc w:val="both"/>
              <w:rPr>
                <w:rFonts w:ascii="Times New Roman" w:eastAsia="Times New Roman" w:hAnsi="Times New Roman" w:cs="Times New Roman"/>
                <w:sz w:val="18"/>
                <w:szCs w:val="18"/>
              </w:rPr>
            </w:pPr>
            <w:r w:rsidRPr="00AA531E">
              <w:rPr>
                <w:rFonts w:ascii="Times New Roman" w:eastAsia="Times New Roman" w:hAnsi="Times New Roman" w:cs="Times New Roman"/>
                <w:sz w:val="18"/>
                <w:szCs w:val="18"/>
              </w:rPr>
              <w:t>6. W przypadku, o którym mowa w ust. 1 pkt 9, nabywca ma prawo odstąpienia od umowy deweloperskiej albo umowy, o której mowa w art. 2 ust. 1 pkt 2, 3 lub 5, po upływie 60 dni od dnia podania do publicznej wiadomości informacji, o których mowa w art. 12 ust. 1.</w:t>
            </w:r>
          </w:p>
          <w:p w14:paraId="1F46141D" w14:textId="3431F0A9" w:rsidR="00AA531E" w:rsidRPr="00AA531E" w:rsidRDefault="00AA531E" w:rsidP="00AA531E">
            <w:pPr>
              <w:jc w:val="both"/>
              <w:rPr>
                <w:rFonts w:ascii="Times New Roman" w:hAnsi="Times New Roman" w:cs="Times New Roman"/>
                <w:sz w:val="18"/>
                <w:szCs w:val="18"/>
              </w:rPr>
            </w:pPr>
            <w:r w:rsidRPr="00AA531E">
              <w:rPr>
                <w:rFonts w:ascii="Times New Roman" w:hAnsi="Times New Roman" w:cs="Times New Roman"/>
                <w:sz w:val="18"/>
                <w:szCs w:val="18"/>
              </w:rPr>
              <w:t>7. Deweloper ma prawo odstąpić od umowy deweloperskiej albo umowy, o której mowa w art. 2 ust. 1 pkt 2, 3 lub 5,</w:t>
            </w:r>
            <w:r>
              <w:rPr>
                <w:rFonts w:ascii="Times New Roman" w:hAnsi="Times New Roman" w:cs="Times New Roman"/>
                <w:sz w:val="18"/>
                <w:szCs w:val="18"/>
              </w:rPr>
              <w:t xml:space="preserve"> </w:t>
            </w:r>
            <w:r w:rsidRPr="00AA531E">
              <w:rPr>
                <w:rFonts w:ascii="Times New Roman" w:hAnsi="Times New Roman" w:cs="Times New Roman"/>
                <w:sz w:val="18"/>
                <w:szCs w:val="18"/>
              </w:rPr>
              <w:t>w przypadku niespełnienia przez nabywcę świadczenia pieniężnego w terminie lub wysokości określonych w umowie,</w:t>
            </w:r>
            <w:r>
              <w:rPr>
                <w:rFonts w:ascii="Times New Roman" w:hAnsi="Times New Roman" w:cs="Times New Roman"/>
                <w:sz w:val="18"/>
                <w:szCs w:val="18"/>
              </w:rPr>
              <w:t xml:space="preserve"> </w:t>
            </w:r>
            <w:r w:rsidRPr="00AA531E">
              <w:rPr>
                <w:rFonts w:ascii="Times New Roman" w:hAnsi="Times New Roman" w:cs="Times New Roman"/>
                <w:sz w:val="18"/>
                <w:szCs w:val="18"/>
              </w:rPr>
              <w:t>mimo wezwania nabywcy w formie pisemnej do uiszczenia zaległych kwot w terminie 30 dni od dnia doręczenia wezwania, chyba że niespełnienie przez nabywcę świadczenia pieniężnego jest spowodowane działaniem siły wyższej.</w:t>
            </w:r>
          </w:p>
          <w:p w14:paraId="480C0CAB" w14:textId="0F238A65" w:rsidR="00AA531E" w:rsidRPr="00AA531E" w:rsidRDefault="00AA531E" w:rsidP="00AA531E">
            <w:pPr>
              <w:jc w:val="both"/>
              <w:rPr>
                <w:rFonts w:ascii="Times New Roman" w:hAnsi="Times New Roman" w:cs="Times New Roman"/>
                <w:sz w:val="18"/>
                <w:szCs w:val="18"/>
              </w:rPr>
            </w:pPr>
            <w:r w:rsidRPr="00AA531E">
              <w:rPr>
                <w:rFonts w:ascii="Times New Roman" w:hAnsi="Times New Roman" w:cs="Times New Roman"/>
                <w:sz w:val="18"/>
                <w:szCs w:val="18"/>
              </w:rPr>
              <w:t>8. Deweloper ma prawo odstąpić od umowy deweloperskiej albo umowy, o której mowa w art. 2 ust. 1 pkt 2, 3 lub 5,</w:t>
            </w:r>
            <w:r>
              <w:rPr>
                <w:rFonts w:ascii="Times New Roman" w:hAnsi="Times New Roman" w:cs="Times New Roman"/>
                <w:sz w:val="18"/>
                <w:szCs w:val="18"/>
              </w:rPr>
              <w:t xml:space="preserve"> </w:t>
            </w:r>
            <w:r w:rsidRPr="00AA531E">
              <w:rPr>
                <w:rFonts w:ascii="Times New Roman" w:hAnsi="Times New Roman" w:cs="Times New Roman"/>
                <w:sz w:val="18"/>
                <w:szCs w:val="18"/>
              </w:rPr>
              <w:t>w przypadku niestawienia się nabywcy do odbioru lokalu mieszkalnego albo domu jednorodzinnego lub podpisania aktu</w:t>
            </w:r>
            <w:r>
              <w:rPr>
                <w:rFonts w:ascii="Times New Roman" w:hAnsi="Times New Roman" w:cs="Times New Roman"/>
                <w:sz w:val="18"/>
                <w:szCs w:val="18"/>
              </w:rPr>
              <w:t xml:space="preserve"> </w:t>
            </w:r>
            <w:r w:rsidRPr="00AA531E">
              <w:rPr>
                <w:rFonts w:ascii="Times New Roman" w:hAnsi="Times New Roman" w:cs="Times New Roman"/>
                <w:sz w:val="18"/>
                <w:szCs w:val="18"/>
              </w:rPr>
              <w:t>notarialnego przenoszącego na nabywcę prawa wynikające z umowy deweloperskiej albo umowy, o której mowa</w:t>
            </w:r>
            <w:r>
              <w:rPr>
                <w:rFonts w:ascii="Times New Roman" w:hAnsi="Times New Roman" w:cs="Times New Roman"/>
                <w:sz w:val="18"/>
                <w:szCs w:val="18"/>
              </w:rPr>
              <w:t xml:space="preserve"> </w:t>
            </w:r>
            <w:r w:rsidRPr="00AA531E">
              <w:rPr>
                <w:rFonts w:ascii="Times New Roman" w:hAnsi="Times New Roman" w:cs="Times New Roman"/>
                <w:sz w:val="18"/>
                <w:szCs w:val="18"/>
              </w:rPr>
              <w:t>w art. 2 ust. 1 pkt 2, 3 lub 5, mimo dwukrotnego doręczenia wezwania w formie pisemnej w odstępie co najmniej 60 dni,</w:t>
            </w:r>
            <w:r>
              <w:rPr>
                <w:rFonts w:ascii="Times New Roman" w:hAnsi="Times New Roman" w:cs="Times New Roman"/>
                <w:sz w:val="18"/>
                <w:szCs w:val="18"/>
              </w:rPr>
              <w:t xml:space="preserve"> </w:t>
            </w:r>
            <w:r w:rsidRPr="00AA531E">
              <w:rPr>
                <w:rFonts w:ascii="Times New Roman" w:hAnsi="Times New Roman" w:cs="Times New Roman"/>
                <w:sz w:val="18"/>
                <w:szCs w:val="18"/>
              </w:rPr>
              <w:t>chyba że niestawienie się nabywcy jest spowodowane działaniem siły wyższej.</w:t>
            </w:r>
          </w:p>
          <w:p w14:paraId="26723D24" w14:textId="77777777" w:rsidR="00D37604" w:rsidRPr="00AA531E" w:rsidRDefault="00D37604" w:rsidP="00AA531E">
            <w:pPr>
              <w:spacing w:beforeLines="60" w:before="144" w:afterLines="60" w:after="144" w:line="240" w:lineRule="auto"/>
              <w:jc w:val="both"/>
              <w:rPr>
                <w:rFonts w:ascii="Times New Roman" w:eastAsia="Times New Roman" w:hAnsi="Times New Roman" w:cs="Times New Roman"/>
                <w:sz w:val="18"/>
                <w:szCs w:val="18"/>
              </w:rPr>
            </w:pPr>
          </w:p>
        </w:tc>
      </w:tr>
      <w:tr w:rsidR="00D37604" w:rsidRPr="00EA1C22" w14:paraId="1A8EDDA8" w14:textId="77777777" w:rsidTr="00A80C58">
        <w:trPr>
          <w:trHeight w:val="510"/>
        </w:trPr>
        <w:tc>
          <w:tcPr>
            <w:tcW w:w="9648" w:type="dxa"/>
            <w:gridSpan w:val="3"/>
            <w:tcBorders>
              <w:bottom w:val="single" w:sz="4" w:space="0" w:color="auto"/>
            </w:tcBorders>
            <w:shd w:val="clear" w:color="auto" w:fill="D9D9D9"/>
          </w:tcPr>
          <w:p w14:paraId="2BD1614F"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 xml:space="preserve">INNE INFORMACJE </w:t>
            </w:r>
          </w:p>
        </w:tc>
      </w:tr>
      <w:tr w:rsidR="00D37604" w:rsidRPr="00EA1C22" w14:paraId="39A74802" w14:textId="77777777" w:rsidTr="00A80C58">
        <w:trPr>
          <w:trHeight w:val="1512"/>
        </w:trPr>
        <w:tc>
          <w:tcPr>
            <w:tcW w:w="9648" w:type="dxa"/>
            <w:gridSpan w:val="3"/>
            <w:tcBorders>
              <w:bottom w:val="nil"/>
            </w:tcBorders>
            <w:shd w:val="clear" w:color="auto" w:fill="F3F3F3"/>
          </w:tcPr>
          <w:p w14:paraId="75DA3438"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 Informacja o:</w:t>
            </w:r>
          </w:p>
          <w:p w14:paraId="4F123F67"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 xml:space="preserve">zgodzie </w:t>
            </w:r>
            <w:r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0A174463"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ab/>
            </w:r>
            <w:r w:rsidRPr="00EA1C22">
              <w:rPr>
                <w:rFonts w:ascii="Times New Roman" w:eastAsia="Times New Roman" w:hAnsi="Times New Roman" w:cs="Times New Roman"/>
                <w:sz w:val="20"/>
                <w:szCs w:val="20"/>
              </w:rPr>
              <w:t>w przypadku umów, o których mowa w art. 2 ust. 2 ustawy z dnia … o ochronie praw nabywcy lokalu mieszkalnego lub domu jednorodzinnego oraz o Deweloperskim Funduszu Gwarancyjnym,</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 xml:space="preserve">o </w:t>
            </w:r>
            <w:r w:rsidRPr="00EA1C22">
              <w:rPr>
                <w:rFonts w:ascii="Times New Roman" w:eastAsia="Times New Roman" w:hAnsi="Times New Roman" w:cs="Times New Roman"/>
                <w:sz w:val="20"/>
                <w:szCs w:val="20"/>
                <w:lang w:eastAsia="pl-PL"/>
              </w:rPr>
              <w:t>zgodzie banku lub innego wierzyciela hipotecznego na bezobciążeniowe przeniesienie</w:t>
            </w:r>
            <w:r>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D37604" w:rsidRPr="00EA1C22" w14:paraId="35DEB4CF" w14:textId="77777777" w:rsidTr="00A80C58">
        <w:trPr>
          <w:trHeight w:val="1512"/>
        </w:trPr>
        <w:tc>
          <w:tcPr>
            <w:tcW w:w="9648" w:type="dxa"/>
            <w:gridSpan w:val="3"/>
            <w:tcBorders>
              <w:top w:val="nil"/>
              <w:bottom w:val="nil"/>
            </w:tcBorders>
            <w:shd w:val="clear" w:color="auto" w:fill="FFFFFF"/>
          </w:tcPr>
          <w:p w14:paraId="6182377C"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II. Informacja o możliwości zapoznania się w lokalu przedsiębiorstwa przez osobę zainteresowaną zawarciem umowy odpowiednio do zakresu umowy z:</w:t>
            </w:r>
          </w:p>
          <w:p w14:paraId="5B978A2E"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stanem księgi wieczystej;</w:t>
            </w:r>
          </w:p>
          <w:p w14:paraId="5F9CE365"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20CC8DFB"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budowę;</w:t>
            </w:r>
          </w:p>
          <w:p w14:paraId="626FAC6D"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7136AE0E"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projektem budowlanym;</w:t>
            </w:r>
          </w:p>
          <w:p w14:paraId="59C054D5"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użytkowanie budynku;</w:t>
            </w:r>
          </w:p>
          <w:p w14:paraId="4283520F"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zaświadczeniem o samodzielności lokalu;</w:t>
            </w:r>
          </w:p>
          <w:p w14:paraId="42EFEBC1"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aktem ustanowienia odrębnej własności lokalu;</w:t>
            </w:r>
          </w:p>
          <w:p w14:paraId="093430F2" w14:textId="77777777" w:rsidR="00D37604" w:rsidRPr="00EA1C22" w:rsidRDefault="00D37604" w:rsidP="00D37604">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dokumentem potwierdzającym:</w:t>
            </w:r>
          </w:p>
          <w:p w14:paraId="3246619F" w14:textId="77777777" w:rsidR="00D37604" w:rsidRPr="00EA1C22" w:rsidRDefault="00D37604" w:rsidP="00D37604">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zgodę </w:t>
            </w:r>
            <w:r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511BE2F5" w14:textId="77777777" w:rsidR="00D37604" w:rsidRPr="00EA1C22" w:rsidRDefault="00D37604" w:rsidP="00D37604">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umów, o których mowa w art. 2 ust. 2 z dnia … o ochronie praw nabywcy lokalu mieszkalnego lub domu jednorodzinnego oraz o Deweloperskim Funduszu Gwarancyjnym,</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D37604" w:rsidRPr="00EA1C22" w14:paraId="63D77688" w14:textId="77777777" w:rsidTr="00A80C58">
        <w:trPr>
          <w:trHeight w:val="1512"/>
        </w:trPr>
        <w:tc>
          <w:tcPr>
            <w:tcW w:w="9648" w:type="dxa"/>
            <w:gridSpan w:val="3"/>
            <w:tcBorders>
              <w:top w:val="nil"/>
            </w:tcBorders>
            <w:shd w:val="clear" w:color="auto" w:fill="FFFFFF"/>
          </w:tcPr>
          <w:p w14:paraId="3BCB40F1"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III. Informacja:</w:t>
            </w:r>
          </w:p>
          <w:p w14:paraId="7F872BEC" w14:textId="2FA1D125"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pieniężne zgromadzone w</w:t>
            </w:r>
            <w:r w:rsidR="00181C3F">
              <w:rPr>
                <w:rFonts w:ascii="Times New Roman" w:eastAsia="Times New Roman" w:hAnsi="Times New Roman" w:cs="Times New Roman"/>
                <w:sz w:val="20"/>
                <w:szCs w:val="20"/>
              </w:rPr>
              <w:t xml:space="preserve"> Spółdzielczy Bank Rozwoju w Szepietowie </w:t>
            </w:r>
            <w:r w:rsidRPr="00EA1C22">
              <w:rPr>
                <w:rFonts w:ascii="Times New Roman" w:eastAsia="Times New Roman" w:hAnsi="Times New Roman" w:cs="Times New Roman"/>
                <w:sz w:val="20"/>
                <w:szCs w:val="20"/>
              </w:rPr>
              <w:t>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7FACFCC9"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p>
          <w:p w14:paraId="2A6A9532"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podstawowe o obowiązkowym systemie gwarantowania depozytów:</w:t>
            </w:r>
          </w:p>
          <w:p w14:paraId="55EA6179" w14:textId="3FB01315"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 xml:space="preserve">ochrona środków dotyczy sytuacji spełnienia warunku gwarancji wobec </w:t>
            </w:r>
            <w:r w:rsidR="00AA531E" w:rsidRPr="00AA531E">
              <w:rPr>
                <w:rFonts w:ascii="Times New Roman" w:eastAsia="Times New Roman" w:hAnsi="Times New Roman" w:cs="Times New Roman"/>
                <w:sz w:val="20"/>
                <w:szCs w:val="20"/>
              </w:rPr>
              <w:t>Spółdzielczego Banku Rozwoju w Szepietowie</w:t>
            </w:r>
          </w:p>
          <w:p w14:paraId="1BAA55A5"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70A469FD"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limit gwarancyjny przypadający na jednego deponent</w:t>
            </w:r>
            <w:r>
              <w:rPr>
                <w:rFonts w:ascii="Times New Roman" w:eastAsia="Times New Roman" w:hAnsi="Times New Roman" w:cs="Times New Roman"/>
                <w:sz w:val="20"/>
                <w:szCs w:val="20"/>
              </w:rPr>
              <w:t>a to równowartość w złotych 100 </w:t>
            </w:r>
            <w:r w:rsidRPr="00EA1C22">
              <w:rPr>
                <w:rFonts w:ascii="Times New Roman" w:eastAsia="Times New Roman" w:hAnsi="Times New Roman" w:cs="Times New Roman"/>
                <w:sz w:val="20"/>
                <w:szCs w:val="20"/>
              </w:rPr>
              <w:t>000 euro; w przypadkach określonych w art. 24</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ust. 3 i 4 ustawy z dnia 10 czerwca 2016 r. o Bankowym Funduszu Gwarancyjnym, systemie gwarantowania depozytów oraz przymusowej restrukturyzacji, środki deponenta, w terminie 3 miesięcy od dnia ich wpływu na rachunek, objęte są gwarancjami p</w:t>
            </w:r>
            <w:r>
              <w:rPr>
                <w:rFonts w:ascii="Times New Roman" w:eastAsia="Times New Roman" w:hAnsi="Times New Roman" w:cs="Times New Roman"/>
                <w:sz w:val="20"/>
                <w:szCs w:val="20"/>
              </w:rPr>
              <w:t>onad równowartość w złotych 100 </w:t>
            </w:r>
            <w:r w:rsidRPr="00EA1C22">
              <w:rPr>
                <w:rFonts w:ascii="Times New Roman" w:eastAsia="Times New Roman" w:hAnsi="Times New Roman" w:cs="Times New Roman"/>
                <w:sz w:val="20"/>
                <w:szCs w:val="20"/>
              </w:rPr>
              <w:t>000 euro,</w:t>
            </w:r>
          </w:p>
          <w:p w14:paraId="6E8300F3"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32C855CD"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4A906620" w14:textId="77777777" w:rsidR="00D37604" w:rsidRPr="00EA1C22" w:rsidRDefault="00D37604" w:rsidP="00D37604">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wypłata środków gwarantowanych jest dokonywana w złotych,</w:t>
            </w:r>
          </w:p>
          <w:p w14:paraId="20AAAC7F" w14:textId="00DE0C77" w:rsidR="00D37604" w:rsidRPr="00EA1C22" w:rsidRDefault="00D37604" w:rsidP="00AA531E">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AA531E" w:rsidRPr="00AA531E">
              <w:rPr>
                <w:rFonts w:ascii="Times New Roman" w:eastAsia="Times New Roman" w:hAnsi="Times New Roman" w:cs="Times New Roman"/>
                <w:sz w:val="20"/>
                <w:szCs w:val="20"/>
              </w:rPr>
              <w:t>Spółdzielcz</w:t>
            </w:r>
            <w:r w:rsidR="00AA531E">
              <w:rPr>
                <w:rFonts w:ascii="Times New Roman" w:eastAsia="Times New Roman" w:hAnsi="Times New Roman" w:cs="Times New Roman"/>
                <w:sz w:val="20"/>
                <w:szCs w:val="20"/>
              </w:rPr>
              <w:t>y</w:t>
            </w:r>
            <w:r w:rsidR="00AA531E" w:rsidRPr="00AA531E">
              <w:rPr>
                <w:rFonts w:ascii="Times New Roman" w:eastAsia="Times New Roman" w:hAnsi="Times New Roman" w:cs="Times New Roman"/>
                <w:sz w:val="20"/>
                <w:szCs w:val="20"/>
              </w:rPr>
              <w:t xml:space="preserve"> Banku Rozwoju w Szepietowie</w:t>
            </w:r>
            <w:r w:rsidR="00AA531E">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 xml:space="preserve">korzysta także z następujących znaków towarowych: </w:t>
            </w:r>
            <w:r w:rsidR="00AA531E" w:rsidRPr="00B70556">
              <w:rPr>
                <w:noProof/>
                <w:sz w:val="18"/>
                <w:szCs w:val="18"/>
              </w:rPr>
              <w:drawing>
                <wp:inline distT="0" distB="0" distL="0" distR="0" wp14:anchorId="6190F0B1" wp14:editId="106EB0BD">
                  <wp:extent cx="1247775" cy="291281"/>
                  <wp:effectExtent l="0" t="0" r="0" b="0"/>
                  <wp:docPr id="992872485" name="Obraz 992872485" descr="SBRBa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Bank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968" cy="297629"/>
                          </a:xfrm>
                          <a:prstGeom prst="rect">
                            <a:avLst/>
                          </a:prstGeom>
                          <a:noFill/>
                          <a:ln>
                            <a:noFill/>
                          </a:ln>
                        </pic:spPr>
                      </pic:pic>
                    </a:graphicData>
                  </a:graphic>
                </wp:inline>
              </w:drawing>
            </w:r>
          </w:p>
          <w:p w14:paraId="4EA859EE"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2B8ED87A" w14:textId="77777777" w:rsidR="00D37604" w:rsidRPr="00EA1C22" w:rsidRDefault="00D37604" w:rsidP="00D37604">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Informacja zamieszczana w przypadku </w:t>
            </w:r>
            <w:r w:rsidRPr="00EA1C22">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22139212" w14:textId="77777777" w:rsidR="00D37604" w:rsidRPr="00EA1C22" w:rsidRDefault="00D37604" w:rsidP="00D37604">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bCs/>
                <w:sz w:val="20"/>
                <w:szCs w:val="20"/>
              </w:rPr>
              <w:t>Oddział instytucji kredytowej, w rozumieniu art. 4 ust. 1 pkt 18 ustawy z dnia 29 sierpnia 1997 r. – Prawo bankowe jest objęty systemem gwarantowania państwa macierzystego, co oznacza, że nie mają do niego zastosowania przepisy</w:t>
            </w:r>
            <w:r>
              <w:rPr>
                <w:rFonts w:ascii="Times New Roman" w:eastAsia="Times New Roman" w:hAnsi="Times New Roman" w:cs="Times New Roman"/>
                <w:bCs/>
                <w:sz w:val="20"/>
                <w:szCs w:val="20"/>
              </w:rPr>
              <w:t xml:space="preserve"> </w:t>
            </w:r>
            <w:r w:rsidRPr="00EA1C22">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5BEB2FDF" w14:textId="77777777" w:rsidR="00A80C5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68987080"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3B20CD52"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3BBAA70D" w14:textId="74BF7DB7" w:rsidR="007F577D" w:rsidRPr="00B008C7" w:rsidRDefault="007F577D">
      <w:pPr>
        <w:rPr>
          <w:rFonts w:ascii="Times New Roman" w:eastAsia="Times New Roman" w:hAnsi="Times New Roman" w:cs="Times New Roman"/>
          <w:b/>
          <w:sz w:val="20"/>
          <w:szCs w:val="20"/>
        </w:rPr>
      </w:pPr>
    </w:p>
    <w:sectPr w:rsidR="007F577D" w:rsidRPr="00B008C7" w:rsidSect="00A80C58">
      <w:footerReference w:type="default" r:id="rId14"/>
      <w:footerReference w:type="first" r:id="rId15"/>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AED0" w14:textId="77777777" w:rsidR="00BB27FB" w:rsidRDefault="00BB27FB" w:rsidP="00EA1C22">
      <w:pPr>
        <w:spacing w:after="0" w:line="240" w:lineRule="auto"/>
      </w:pPr>
      <w:r>
        <w:separator/>
      </w:r>
    </w:p>
  </w:endnote>
  <w:endnote w:type="continuationSeparator" w:id="0">
    <w:p w14:paraId="0442107B" w14:textId="77777777" w:rsidR="00BB27FB" w:rsidRDefault="00BB27FB"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6CFBECDB"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5C6A" w14:textId="77777777" w:rsidR="00143535" w:rsidRDefault="00143535">
    <w:pPr>
      <w:pStyle w:val="Stopka"/>
      <w:jc w:val="center"/>
    </w:pPr>
  </w:p>
  <w:p w14:paraId="10A746D9"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CF79" w14:textId="77777777" w:rsidR="00BB27FB" w:rsidRDefault="00BB27FB" w:rsidP="00EA1C22">
      <w:pPr>
        <w:spacing w:after="0" w:line="240" w:lineRule="auto"/>
      </w:pPr>
      <w:r>
        <w:separator/>
      </w:r>
    </w:p>
  </w:footnote>
  <w:footnote w:type="continuationSeparator" w:id="0">
    <w:p w14:paraId="33D548A4" w14:textId="77777777" w:rsidR="00BB27FB" w:rsidRDefault="00BB27FB" w:rsidP="00EA1C22">
      <w:pPr>
        <w:spacing w:after="0" w:line="240" w:lineRule="auto"/>
      </w:pPr>
      <w:r>
        <w:continuationSeparator/>
      </w:r>
    </w:p>
  </w:footnote>
  <w:footnote w:id="1">
    <w:p w14:paraId="6CA50FDD"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135E759E"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29D2EA45"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1B721191"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02189982"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04C5BBB0"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30BE0FE7"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674EDE6"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4ED744BE"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3375075A"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2BA7CD1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5F7359BF"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6746DA4A"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243123EC" w14:textId="77777777" w:rsidR="00D37604" w:rsidRPr="00077623" w:rsidRDefault="00D37604"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0C3BE2D0" w14:textId="77777777" w:rsidR="00D37604" w:rsidRPr="008B0E61" w:rsidRDefault="00D37604"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70790360" w14:textId="77777777" w:rsidR="00D37604" w:rsidRPr="008B0E61" w:rsidRDefault="00D37604"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6D837475" w14:textId="758DC5CF" w:rsidR="00D37604" w:rsidRPr="008B0E61" w:rsidRDefault="00D37604"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 xml:space="preserve">Zgodnie z art. 48 ust. 6 </w:t>
      </w:r>
      <w:r w:rsidRPr="00237E34">
        <w:rPr>
          <w:rFonts w:ascii="Times New Roman" w:hAnsi="Times New Roman"/>
          <w:sz w:val="18"/>
          <w:szCs w:val="18"/>
        </w:rPr>
        <w:t>ustawy z dnia</w:t>
      </w:r>
      <w:r w:rsidR="00181C3F">
        <w:rPr>
          <w:rFonts w:ascii="Times New Roman" w:hAnsi="Times New Roman"/>
          <w:sz w:val="18"/>
          <w:szCs w:val="18"/>
        </w:rPr>
        <w:t xml:space="preserve"> 20 maja 2021 r.</w:t>
      </w:r>
      <w:r w:rsidRPr="00237E34">
        <w:rPr>
          <w:rFonts w:ascii="Times New Roman" w:hAnsi="Times New Roman"/>
          <w:sz w:val="18"/>
          <w:szCs w:val="18"/>
        </w:rPr>
        <w:t xml:space="preserve"> o ochronie praw nabywcy lokalu mieszkalnego lub domu jednorodzinnego oraz o Deweloperskim Funduszu Gwarancyjnym (Dz. U. </w:t>
      </w:r>
      <w:r w:rsidR="00181C3F" w:rsidRPr="00181C3F">
        <w:rPr>
          <w:rFonts w:ascii="Times New Roman" w:hAnsi="Times New Roman"/>
          <w:sz w:val="18"/>
          <w:szCs w:val="18"/>
        </w:rPr>
        <w:t>2021 poz. 1177</w:t>
      </w:r>
      <w:r w:rsidRPr="00237E34">
        <w:rPr>
          <w:rFonts w:ascii="Times New Roman" w:hAnsi="Times New Roman"/>
          <w:sz w:val="18"/>
          <w:szCs w:val="18"/>
        </w:rPr>
        <w:t>)</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Pr="00E6714E">
        <w:rPr>
          <w:rFonts w:ascii="Times New Roman" w:hAnsi="Times New Roman"/>
          <w:sz w:val="18"/>
          <w:szCs w:val="18"/>
        </w:rPr>
        <w:t xml:space="preserve">ustawy z dnia </w:t>
      </w:r>
      <w:r w:rsidR="00181C3F">
        <w:rPr>
          <w:rFonts w:ascii="Times New Roman" w:hAnsi="Times New Roman"/>
          <w:sz w:val="18"/>
          <w:szCs w:val="18"/>
        </w:rPr>
        <w:t>20 maja 2021</w:t>
      </w:r>
      <w:r w:rsidRPr="00E6714E">
        <w:rPr>
          <w:rFonts w:ascii="Times New Roman" w:hAnsi="Times New Roman"/>
          <w:sz w:val="18"/>
          <w:szCs w:val="18"/>
        </w:rPr>
        <w:t xml:space="preserve">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96F"/>
    <w:multiLevelType w:val="multilevel"/>
    <w:tmpl w:val="42F406C0"/>
    <w:styleLink w:val="WWOutlineListStyle46"/>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9A214C"/>
    <w:multiLevelType w:val="hybridMultilevel"/>
    <w:tmpl w:val="11FA13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9132576">
    <w:abstractNumId w:val="5"/>
  </w:num>
  <w:num w:numId="2" w16cid:durableId="1709722255">
    <w:abstractNumId w:val="4"/>
  </w:num>
  <w:num w:numId="3" w16cid:durableId="580793425">
    <w:abstractNumId w:val="6"/>
  </w:num>
  <w:num w:numId="4" w16cid:durableId="1237983701">
    <w:abstractNumId w:val="1"/>
  </w:num>
  <w:num w:numId="5" w16cid:durableId="686756007">
    <w:abstractNumId w:val="3"/>
  </w:num>
  <w:num w:numId="6" w16cid:durableId="791636609">
    <w:abstractNumId w:val="0"/>
  </w:num>
  <w:num w:numId="7" w16cid:durableId="218325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01C8A"/>
    <w:rsid w:val="00010367"/>
    <w:rsid w:val="00010D06"/>
    <w:rsid w:val="00046D86"/>
    <w:rsid w:val="0006108A"/>
    <w:rsid w:val="000B4F05"/>
    <w:rsid w:val="000B756D"/>
    <w:rsid w:val="000C0973"/>
    <w:rsid w:val="000E11A1"/>
    <w:rsid w:val="00110283"/>
    <w:rsid w:val="0012739C"/>
    <w:rsid w:val="00131441"/>
    <w:rsid w:val="00143535"/>
    <w:rsid w:val="001447F7"/>
    <w:rsid w:val="001460FC"/>
    <w:rsid w:val="001513A6"/>
    <w:rsid w:val="00156972"/>
    <w:rsid w:val="00167F96"/>
    <w:rsid w:val="00170BE8"/>
    <w:rsid w:val="00174AA6"/>
    <w:rsid w:val="00181C3F"/>
    <w:rsid w:val="00186C41"/>
    <w:rsid w:val="001B61F6"/>
    <w:rsid w:val="001F6767"/>
    <w:rsid w:val="00211201"/>
    <w:rsid w:val="002569DA"/>
    <w:rsid w:val="00275D71"/>
    <w:rsid w:val="00283211"/>
    <w:rsid w:val="002C2891"/>
    <w:rsid w:val="002C28ED"/>
    <w:rsid w:val="00331C35"/>
    <w:rsid w:val="0034028F"/>
    <w:rsid w:val="00381538"/>
    <w:rsid w:val="003918C2"/>
    <w:rsid w:val="003F7E75"/>
    <w:rsid w:val="00402003"/>
    <w:rsid w:val="00402D77"/>
    <w:rsid w:val="00414F83"/>
    <w:rsid w:val="00422FB0"/>
    <w:rsid w:val="004460C4"/>
    <w:rsid w:val="004C1362"/>
    <w:rsid w:val="004D4042"/>
    <w:rsid w:val="004E3F9A"/>
    <w:rsid w:val="005519C2"/>
    <w:rsid w:val="005660AB"/>
    <w:rsid w:val="00570A99"/>
    <w:rsid w:val="005A5CC4"/>
    <w:rsid w:val="005C1C6B"/>
    <w:rsid w:val="005D0BD2"/>
    <w:rsid w:val="005E64A1"/>
    <w:rsid w:val="005F17E8"/>
    <w:rsid w:val="005F4604"/>
    <w:rsid w:val="006028FC"/>
    <w:rsid w:val="006177CF"/>
    <w:rsid w:val="00642787"/>
    <w:rsid w:val="0066098B"/>
    <w:rsid w:val="00683CF6"/>
    <w:rsid w:val="0069701A"/>
    <w:rsid w:val="007278D4"/>
    <w:rsid w:val="00736036"/>
    <w:rsid w:val="007455D4"/>
    <w:rsid w:val="00780A60"/>
    <w:rsid w:val="00794529"/>
    <w:rsid w:val="007B6BCF"/>
    <w:rsid w:val="007C3FBC"/>
    <w:rsid w:val="007D43CB"/>
    <w:rsid w:val="007E3E4D"/>
    <w:rsid w:val="007E6824"/>
    <w:rsid w:val="007F577D"/>
    <w:rsid w:val="00811F77"/>
    <w:rsid w:val="00825A48"/>
    <w:rsid w:val="00841CB8"/>
    <w:rsid w:val="00863B08"/>
    <w:rsid w:val="00872652"/>
    <w:rsid w:val="00885501"/>
    <w:rsid w:val="008C7B0E"/>
    <w:rsid w:val="00911A8D"/>
    <w:rsid w:val="00920895"/>
    <w:rsid w:val="00921952"/>
    <w:rsid w:val="00952F99"/>
    <w:rsid w:val="0096242F"/>
    <w:rsid w:val="009927E3"/>
    <w:rsid w:val="009A5F5D"/>
    <w:rsid w:val="009E7F8F"/>
    <w:rsid w:val="00A2545C"/>
    <w:rsid w:val="00A31BC6"/>
    <w:rsid w:val="00A4134F"/>
    <w:rsid w:val="00A42D92"/>
    <w:rsid w:val="00A80C58"/>
    <w:rsid w:val="00A86DDC"/>
    <w:rsid w:val="00AA531E"/>
    <w:rsid w:val="00B008C7"/>
    <w:rsid w:val="00B0230E"/>
    <w:rsid w:val="00B86484"/>
    <w:rsid w:val="00BB27FB"/>
    <w:rsid w:val="00BB3D2C"/>
    <w:rsid w:val="00BE3FA6"/>
    <w:rsid w:val="00C0341A"/>
    <w:rsid w:val="00C05345"/>
    <w:rsid w:val="00C057D3"/>
    <w:rsid w:val="00C13ECE"/>
    <w:rsid w:val="00C24D67"/>
    <w:rsid w:val="00C61580"/>
    <w:rsid w:val="00C86D8C"/>
    <w:rsid w:val="00C927BA"/>
    <w:rsid w:val="00CB37CB"/>
    <w:rsid w:val="00CB5C49"/>
    <w:rsid w:val="00CD593B"/>
    <w:rsid w:val="00D00EBF"/>
    <w:rsid w:val="00D11337"/>
    <w:rsid w:val="00D37604"/>
    <w:rsid w:val="00D47BA8"/>
    <w:rsid w:val="00D52D80"/>
    <w:rsid w:val="00D73DA2"/>
    <w:rsid w:val="00D85736"/>
    <w:rsid w:val="00DB530F"/>
    <w:rsid w:val="00DC17D7"/>
    <w:rsid w:val="00DD0CA1"/>
    <w:rsid w:val="00DD1DC9"/>
    <w:rsid w:val="00DF2913"/>
    <w:rsid w:val="00E254AC"/>
    <w:rsid w:val="00E71ED1"/>
    <w:rsid w:val="00E82A83"/>
    <w:rsid w:val="00E82E48"/>
    <w:rsid w:val="00E91A12"/>
    <w:rsid w:val="00E91FF3"/>
    <w:rsid w:val="00E9551C"/>
    <w:rsid w:val="00EA1C22"/>
    <w:rsid w:val="00EC37AB"/>
    <w:rsid w:val="00EC5837"/>
    <w:rsid w:val="00ED62A7"/>
    <w:rsid w:val="00EF63EF"/>
    <w:rsid w:val="00F1421B"/>
    <w:rsid w:val="00F32286"/>
    <w:rsid w:val="00F41884"/>
    <w:rsid w:val="00F725DB"/>
    <w:rsid w:val="00F8574A"/>
    <w:rsid w:val="00FA04D2"/>
    <w:rsid w:val="00FB294A"/>
    <w:rsid w:val="00FD125F"/>
    <w:rsid w:val="00FE05AD"/>
    <w:rsid w:val="00FE1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419EA7"/>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14F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D37604"/>
    <w:rPr>
      <w:color w:val="0563C1" w:themeColor="hyperlink"/>
      <w:u w:val="single"/>
    </w:rPr>
  </w:style>
  <w:style w:type="character" w:styleId="Nierozpoznanawzmianka">
    <w:name w:val="Unresolved Mention"/>
    <w:basedOn w:val="Domylnaczcionkaakapitu"/>
    <w:uiPriority w:val="99"/>
    <w:semiHidden/>
    <w:unhideWhenUsed/>
    <w:rsid w:val="00D37604"/>
    <w:rPr>
      <w:color w:val="605E5C"/>
      <w:shd w:val="clear" w:color="auto" w:fill="E1DFDD"/>
    </w:rPr>
  </w:style>
  <w:style w:type="paragraph" w:customStyle="1" w:styleId="TableParagraph">
    <w:name w:val="Table Paragraph"/>
    <w:basedOn w:val="Normalny"/>
    <w:qFormat/>
    <w:rsid w:val="00D37604"/>
    <w:pPr>
      <w:widowControl w:val="0"/>
      <w:autoSpaceDE w:val="0"/>
      <w:autoSpaceDN w:val="0"/>
      <w:spacing w:after="0" w:line="240" w:lineRule="auto"/>
    </w:pPr>
    <w:rPr>
      <w:rFonts w:ascii="Times New Roman" w:eastAsia="Times New Roman" w:hAnsi="Times New Roman" w:cs="Times New Roman"/>
    </w:rPr>
  </w:style>
  <w:style w:type="numbering" w:customStyle="1" w:styleId="WWOutlineListStyle46">
    <w:name w:val="WW_OutlineListStyle_46"/>
    <w:basedOn w:val="Bezlisty"/>
    <w:rsid w:val="0066098B"/>
    <w:pPr>
      <w:numPr>
        <w:numId w:val="6"/>
      </w:numPr>
    </w:pPr>
  </w:style>
  <w:style w:type="character" w:customStyle="1" w:styleId="Nagwek2Znak">
    <w:name w:val="Nagłówek 2 Znak"/>
    <w:basedOn w:val="Domylnaczcionkaakapitu"/>
    <w:link w:val="Nagwek2"/>
    <w:uiPriority w:val="9"/>
    <w:semiHidden/>
    <w:rsid w:val="00414F83"/>
    <w:rPr>
      <w:rFonts w:asciiTheme="majorHAnsi" w:eastAsiaTheme="majorEastAsia" w:hAnsiTheme="majorHAnsi" w:cstheme="majorBidi"/>
      <w:color w:val="2E74B5" w:themeColor="accent1" w:themeShade="BF"/>
      <w:sz w:val="26"/>
      <w:szCs w:val="26"/>
    </w:rPr>
  </w:style>
  <w:style w:type="paragraph" w:customStyle="1" w:styleId="Standard">
    <w:name w:val="Standard"/>
    <w:rsid w:val="007D43CB"/>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48573">
      <w:bodyDiv w:val="1"/>
      <w:marLeft w:val="0"/>
      <w:marRight w:val="0"/>
      <w:marTop w:val="0"/>
      <w:marBottom w:val="0"/>
      <w:divBdr>
        <w:top w:val="none" w:sz="0" w:space="0" w:color="auto"/>
        <w:left w:val="none" w:sz="0" w:space="0" w:color="auto"/>
        <w:bottom w:val="none" w:sz="0" w:space="0" w:color="auto"/>
        <w:right w:val="none" w:sz="0" w:space="0" w:color="auto"/>
      </w:divBdr>
    </w:div>
    <w:div w:id="1167286310">
      <w:bodyDiv w:val="1"/>
      <w:marLeft w:val="0"/>
      <w:marRight w:val="0"/>
      <w:marTop w:val="0"/>
      <w:marBottom w:val="0"/>
      <w:divBdr>
        <w:top w:val="none" w:sz="0" w:space="0" w:color="auto"/>
        <w:left w:val="none" w:sz="0" w:space="0" w:color="auto"/>
        <w:bottom w:val="none" w:sz="0" w:space="0" w:color="auto"/>
        <w:right w:val="none" w:sz="0" w:space="0" w:color="auto"/>
      </w:divBdr>
    </w:div>
    <w:div w:id="13064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suprasl.wrotapodlasia.pl/resource/14696/Studiumtekst_suprasl_uchwala_23grudzien.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umsuprasl.wrotapodlasia.pl/resource/14696/Studiumtekst_suprasl_uchwala_23grudzi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bowka.e-mapa.net/?service=pln&amp;request=getUchwala&amp;p=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rabowka.e-mapa.net/?service=pln&amp;request=getUchwala&amp;p=3" TargetMode="External"/><Relationship Id="rId4" Type="http://schemas.openxmlformats.org/officeDocument/2006/relationships/settings" Target="settings.xml"/><Relationship Id="rId9" Type="http://schemas.openxmlformats.org/officeDocument/2006/relationships/hyperlink" Target="https://grabowka.e-mapa.net/?service=pln&amp;request=getUchwala&amp;p=9"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CCB4-E1B4-41B9-8FB7-84A48F45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4249</Words>
  <Characters>25496</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ela krolewska</cp:lastModifiedBy>
  <cp:revision>3</cp:revision>
  <cp:lastPrinted>2025-09-10T06:48:00Z</cp:lastPrinted>
  <dcterms:created xsi:type="dcterms:W3CDTF">2025-09-16T06:32:00Z</dcterms:created>
  <dcterms:modified xsi:type="dcterms:W3CDTF">2025-09-16T06:35:00Z</dcterms:modified>
</cp:coreProperties>
</file>